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0"/>
      </w:pPr>
      <w:r>
        <w:rPr>
          <w:sz w:val="22"/>
          <w:szCs w:val="22"/>
        </w:rPr>
        <w:t xml:space="preserve"/>
      </w:r>
    </w:p>
    <w:p>
      <w:pPr>
        <w:spacing w:after="200"/>
        <w:jc w:val="center"/>
      </w:pPr>
      <w:r>
        <w:rPr>
          <w:rFonts w:ascii="黑体" w:cs="黑体" w:eastAsia="黑体" w:hAnsi="黑体"/>
          <w:b/>
          <w:bCs/>
          <w:color w:val="2E75B6"/>
          <w:sz w:val="72"/>
          <w:szCs w:val="72"/>
        </w:rPr>
        <w:t xml:space="preserve">AI 物料中台</w:t>
      </w:r>
    </w:p>
    <w:p>
      <w:pPr>
        <w:spacing w:after="200"/>
        <w:jc w:val="center"/>
      </w:pPr>
      <w:r>
        <w:rPr>
          <w:rFonts w:ascii="微软雅黑" w:cs="微软雅黑" w:eastAsia="微软雅黑" w:hAnsi="微软雅黑"/>
          <w:b/>
          <w:bCs/>
          <w:color w:val="404040"/>
          <w:sz w:val="56"/>
          <w:szCs w:val="56"/>
        </w:rPr>
        <w:t xml:space="preserve">技术架构设计文档</w:t>
      </w:r>
    </w:p>
    <w:p>
      <w:pPr>
        <w:spacing w:after="100"/>
        <w:jc w:val="center"/>
      </w:pPr>
      <w:r>
        <w:rPr>
          <w:rFonts w:ascii="宋体" w:cs="宋体" w:eastAsia="宋体" w:hAnsi="宋体"/>
          <w:color w:val="7F7F7F"/>
          <w:sz w:val="28"/>
          <w:szCs w:val="28"/>
        </w:rPr>
        <w:t xml:space="preserve">TDD-AI物料中台  V1.0</w:t>
      </w:r>
    </w:p>
    <w:p>
      <w:pPr>
        <w:spacing w:after="100"/>
        <w:jc w:val="center"/>
      </w:pPr>
      <w:r>
        <w:rPr>
          <w:rFonts w:ascii="宋体" w:cs="宋体" w:eastAsia="宋体" w:hAnsi="宋体"/>
          <w:color w:val="7F7F7F"/>
          <w:sz w:val="22"/>
          <w:szCs w:val="22"/>
        </w:rPr>
        <w:t xml:space="preserve">编制日期：2026-05-11</w:t>
      </w:r>
    </w:p>
    <w:p>
      <w:pPr>
        <w:spacing w:after="1200"/>
        <w:jc w:val="center"/>
      </w:pPr>
      <w:r>
        <w:rPr>
          <w:rFonts w:ascii="宋体" w:cs="宋体" w:eastAsia="宋体" w:hAnsi="宋体"/>
          <w:i/>
          <w:iCs/>
          <w:color w:val="7F7F7F"/>
          <w:sz w:val="20"/>
          <w:szCs w:val="20"/>
        </w:rPr>
        <w:t xml:space="preserve">（本文档从 PRD V0.7 拆分，聚焦技术实现细节，供研发团队使用）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5500"/>
      </w:tblGrid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版本号</w:t>
            </w:r>
          </w:p>
        </w:tc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5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变更说明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V1.0</w:t>
            </w:r>
          </w:p>
        </w:tc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2026-05-11</w:t>
            </w:r>
          </w:p>
        </w:tc>
        <w:tc>
          <w:tcPr>
            <w:tcW w:type="dxa" w:w="5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从 PRD V0.7 拆分，整理技术架构全貌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ageBreakBefore/>
      </w:pPr>
      <w:r>
        <w:rPr>
          <w:rFonts w:ascii="黑体" w:cs="黑体" w:eastAsia="黑体" w:hAnsi="黑体"/>
          <w:b/>
          <w:bCs/>
          <w:color w:val="2E75B6"/>
          <w:sz w:val="36"/>
          <w:szCs w:val="36"/>
        </w:rPr>
        <w:t xml:space="preserve">一、技术选型决策</w:t>
      </w:r>
    </w:p>
    <w:p>
      <w:pPr>
        <w:spacing w:after="60" w:before="60" w:line="360" w:lineRule="auto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本系统基于以下技术栈构建，各选型均经过与替代方案的横向对比评估。</w:t>
      </w:r>
    </w:p>
    <w:p>
      <w:pPr>
        <w:spacing w:after="60" w:before="60"/>
      </w:pPr>
      <w: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200"/>
        <w:gridCol w:w="2400"/>
      </w:tblGrid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技术组件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选型</w:t>
            </w:r>
          </w:p>
        </w:tc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选择理由</w:t>
            </w:r>
          </w:p>
        </w:tc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替代方案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Web 框架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FastAPI 0.128+</w:t>
            </w:r>
          </w:p>
        </w:tc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异步原生、OpenAPI 自动生成、Pydantic v2 数据验证</w:t>
            </w:r>
          </w:p>
        </w:tc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Flask（同步）、Django（过重）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LLM 引擎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Qwen3-Max (DashScope)</w:t>
            </w:r>
          </w:p>
        </w:tc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中文理解优秀、成本合理、国内合规</w:t>
            </w:r>
          </w:p>
        </w:tc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GPT-4o（成本高）、Claude（合规风险）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向量数据库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Qdrant（Dense+Sparse）</w:t>
            </w:r>
          </w:p>
        </w:tc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混合检索精度高、开源可私有化部署</w:t>
            </w:r>
          </w:p>
        </w:tc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Milvus（运维复杂）、Pinecone（SaaS 锁定）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多模型支持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OpenAI SDK 兼容格式</w:t>
            </w:r>
          </w:p>
        </w:tc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统一接口，快速切换模型厂商</w:t>
            </w:r>
          </w:p>
        </w:tc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各厂商独立 SDK（耦合度高）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数据处理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Pandas 2.3 + OpenPyXL 3.1</w:t>
            </w:r>
          </w:p>
        </w:tc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成熟生态、Excel 处理完备</w:t>
            </w:r>
          </w:p>
        </w:tc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Polars（生态不完善）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异步处理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asyncio 原生</w:t>
            </w:r>
          </w:p>
        </w:tc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轻量，与 FastAPI 天然适配</w:t>
            </w:r>
          </w:p>
        </w:tc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Celery（依赖 Redis，过重）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日志追踪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自研 CallChainTracker</w:t>
            </w:r>
          </w:p>
        </w:tc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定制 AI 推理链路追踪，记录 Prompt/Response/耗时</w:t>
            </w:r>
          </w:p>
        </w:tc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OpenTelemetry（通用但配置复杂）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ageBreakBefore/>
      </w:pPr>
      <w:r>
        <w:rPr>
          <w:rFonts w:ascii="黑体" w:cs="黑体" w:eastAsia="黑体" w:hAnsi="黑体"/>
          <w:b/>
          <w:bCs/>
          <w:color w:val="2E75B6"/>
          <w:sz w:val="36"/>
          <w:szCs w:val="36"/>
        </w:rPr>
        <w:t xml:space="preserve">二、通用化改造路线（关键决策）</w:t>
      </w:r>
    </w:p>
    <w:p>
      <w:pPr>
        <w:spacing w:after="60" w:before="60" w:line="360" w:lineRule="auto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当前系统存在「业务场景硬编码」问题，须通过以下三个阶段完成通用化改造，以支撑产品化与多租户目标。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阶段一：基础解耦（第 1-2 周，已规划）</w:t>
      </w:r>
    </w:p>
    <w:p>
      <w:pPr>
        <w:spacing w:after="60" w:before="60"/>
      </w:pPr>
      <w: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4200"/>
      </w:tblGrid>
      <w:tr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改造项</w:t>
            </w:r>
          </w:p>
        </w:tc>
        <w:tc>
          <w:tcPr>
            <w:tcW w:type="dxa" w:w="3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当前问题</w:t>
            </w:r>
          </w:p>
        </w:tc>
        <w:tc>
          <w:tcPr>
            <w:tcW w:type="dxa" w:w="4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改造方案</w:t>
            </w:r>
          </w:p>
        </w:tc>
      </w:tr>
      <w:tr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Prompt 模板化</w:t>
            </w:r>
          </w:p>
        </w:tc>
        <w:tc>
          <w:tcPr>
            <w:tcW w:type="dxa" w:w="3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system prompt 硬编码招标场景词汇</w:t>
            </w:r>
          </w:p>
        </w:tc>
        <w:tc>
          <w:tcPr>
            <w:tcW w:type="dxa" w:w="4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引入 PromptTemplate 类，支持变量注入，模板存储于配置文件</w:t>
            </w:r>
          </w:p>
        </w:tc>
      </w:tr>
      <w:tr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列名动态映射</w:t>
            </w:r>
          </w:p>
        </w:tc>
        <w:tc>
          <w:tcPr>
            <w:tcW w:type="dxa" w:w="3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代码写死「品名」「建议新增类目」等列名</w:t>
            </w:r>
          </w:p>
        </w:tc>
        <w:tc>
          <w:tcPr>
            <w:tcW w:type="dxa" w:w="4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配置文件驱动，列名 Schema 可配置，支持运行时覆盖</w:t>
            </w:r>
          </w:p>
        </w:tc>
      </w:tr>
      <w:tr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模型解耦</w:t>
            </w:r>
          </w:p>
        </w:tc>
        <w:tc>
          <w:tcPr>
            <w:tcW w:type="dxa" w:w="3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写死 Qwen3-Max + DashScope</w:t>
            </w:r>
          </w:p>
        </w:tc>
        <w:tc>
          <w:tcPr>
            <w:tcW w:type="dxa" w:w="4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LLM Client 抽象层，支持 OpenAI 兼容格式多厂商切换</w:t>
            </w:r>
          </w:p>
        </w:tc>
      </w:tr>
      <w:tr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Excel 结构假设</w:t>
            </w:r>
          </w:p>
        </w:tc>
        <w:tc>
          <w:tcPr>
            <w:tcW w:type="dxa" w:w="3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假设特定 Sheet 名和表头顺序</w:t>
            </w:r>
          </w:p>
        </w:tc>
        <w:tc>
          <w:tcPr>
            <w:tcW w:type="dxa" w:w="4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运行时动态识别 Sheet 和表头，AI 辅助列名对齐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阶段二：配置化 Pipeline（第 3-4 周）</w:t>
      </w:r>
    </w:p>
    <w:p>
      <w:pPr>
        <w:spacing w:after="60" w:before="60" w:line="360" w:lineRule="auto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目标：用户只需提供「输入文件 + 目标 Schema + 可选业务 Prompt」，系统完成全链路处理。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cs="宋体" w:eastAsia="宋体" w:hAnsi="宋体"/>
          <w:sz w:val="22"/>
          <w:szCs w:val="22"/>
        </w:rPr>
        <w:t xml:space="preserve">表头识别 → 数据提取 → Schema 对齐 → 结构化输出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cs="宋体" w:eastAsia="宋体" w:hAnsi="宋体"/>
          <w:sz w:val="22"/>
          <w:szCs w:val="22"/>
        </w:rPr>
        <w:t xml:space="preserve">支持 YAML/JSON 配置文件定义 Pipeline 流程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cs="宋体" w:eastAsia="宋体" w:hAnsi="宋体"/>
          <w:sz w:val="22"/>
          <w:szCs w:val="22"/>
        </w:rPr>
        <w:t xml:space="preserve">每个处理阶段可独立开关，便于调试和部分重跑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阶段三：多租户平台化（第 5-8 周）</w:t>
      </w:r>
    </w:p>
    <w:p>
      <w:pPr>
        <w:spacing w:after="60" w:before="60"/>
      </w:pPr>
      <w: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能力项</w:t>
            </w:r>
          </w:p>
        </w:tc>
        <w:tc>
          <w:tcPr>
            <w:tcW w:type="dxa" w:w="7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设计要点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租户隔离</w:t>
            </w:r>
          </w:p>
        </w:tc>
        <w:tc>
          <w:tcPr>
            <w:tcW w:type="dxa" w:w="7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每个企业独立的 Prompt 模板、列名映射、知识库；数据库按 tenant_id 分区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权限管理</w:t>
            </w:r>
          </w:p>
        </w:tc>
        <w:tc>
          <w:tcPr>
            <w:tcW w:type="dxa" w:w="7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RBAC 角色权限控制，与 PRD 定义的角色体系对齐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计费追踪</w:t>
            </w:r>
          </w:p>
        </w:tc>
        <w:tc>
          <w:tcPr>
            <w:tcW w:type="dxa" w:w="7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Token 用量统计、LLM API 成本按租户分摊；支持用量报表导出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配置管理</w:t>
            </w:r>
          </w:p>
        </w:tc>
        <w:tc>
          <w:tcPr>
            <w:tcW w:type="dxa" w:w="7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租户级 Prompt / Schema / 阈值配置，支持版本管理和回滚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ageBreakBefore/>
      </w:pPr>
      <w:r>
        <w:rPr>
          <w:rFonts w:ascii="黑体" w:cs="黑体" w:eastAsia="黑体" w:hAnsi="黑体"/>
          <w:b/>
          <w:bCs/>
          <w:color w:val="2E75B6"/>
          <w:sz w:val="36"/>
          <w:szCs w:val="36"/>
        </w:rPr>
        <w:t xml:space="preserve">三、部署架构方案</w:t>
      </w:r>
    </w:p>
    <w:p>
      <w:pPr>
        <w:spacing w:after="60" w:before="60" w:line="360" w:lineRule="auto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系统提供两种部署模式，满足不同安全合规要求。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3.1 SaaS 云端部署（标准方案）</w:t>
      </w:r>
    </w:p>
    <w:p>
      <w:pPr>
        <w:spacing w:after="60" w:before="60"/>
      </w:pPr>
      <w: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4000"/>
      </w:tblGrid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部署方式</w:t>
            </w:r>
          </w:p>
        </w:tc>
        <w:tc>
          <w:tcPr>
            <w:tcW w:type="dxa" w:w="4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规格建议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FastAPI 应用</w:t>
            </w:r>
          </w:p>
        </w:tc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Docker 容器</w:t>
            </w:r>
          </w:p>
        </w:tc>
        <w:tc>
          <w:tcPr>
            <w:tcW w:type="dxa" w:w="4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2C4G × 2 副本，支持水平扩展；Nginx 前置做负载均衡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Qdrant 向量库</w:t>
            </w:r>
          </w:p>
        </w:tc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Docker 单节点 / K8s StatefulSet</w:t>
            </w:r>
          </w:p>
        </w:tc>
        <w:tc>
          <w:tcPr>
            <w:tcW w:type="dxa" w:w="4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4C16G，数据盘 SSD 100GB+，定期快照备份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文件存储</w:t>
            </w:r>
          </w:p>
        </w:tc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阿里云 OSS / 本地磁盘</w:t>
            </w:r>
          </w:p>
        </w:tc>
        <w:tc>
          <w:tcPr>
            <w:tcW w:type="dxa" w:w="4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按用量计费，支持大文件分片上传；OSS 开启版本控制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配置管理</w:t>
            </w:r>
          </w:p>
        </w:tc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环境变量 + .env 文件</w:t>
            </w:r>
          </w:p>
        </w:tc>
        <w:tc>
          <w:tcPr>
            <w:tcW w:type="dxa" w:w="4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API Key、模型参数、向量库地址；生产环境使用 Secrets Manager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日志收集</w:t>
            </w:r>
          </w:p>
        </w:tc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结构化日志 → ELK / 云日志服务</w:t>
            </w:r>
          </w:p>
        </w:tc>
        <w:tc>
          <w:tcPr>
            <w:tcW w:type="dxa" w:w="4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保留 30 天，支持关键字查询；AI 推理日志单独存储 90 天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监控告警</w:t>
            </w:r>
          </w:p>
        </w:tc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Prometheus + Grafana（可选）</w:t>
            </w:r>
          </w:p>
        </w:tc>
        <w:tc>
          <w:tcPr>
            <w:tcW w:type="dxa" w:w="4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监控 API 延迟、LLM 调用成功率、向量检索 P95 延迟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3.2 私有化部署（企业方案）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cs="宋体" w:eastAsia="宋体" w:hAnsi="宋体"/>
          <w:sz w:val="22"/>
          <w:szCs w:val="22"/>
        </w:rPr>
        <w:t xml:space="preserve">提供 Docker Compose 一键部署包，含所有依赖服务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cs="宋体" w:eastAsia="宋体" w:hAnsi="宋体"/>
          <w:sz w:val="22"/>
          <w:szCs w:val="22"/>
        </w:rPr>
        <w:t xml:space="preserve">支持离线模型（本地 Ollama / vLLM），无需外网访问 LLM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cs="宋体" w:eastAsia="宋体" w:hAnsi="宋体"/>
          <w:sz w:val="22"/>
          <w:szCs w:val="22"/>
        </w:rPr>
        <w:t xml:space="preserve">数据完全留存在客户内网，满足等保/金融/央企数据安全要求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cs="宋体" w:eastAsia="宋体" w:hAnsi="宋体"/>
          <w:sz w:val="22"/>
          <w:szCs w:val="22"/>
        </w:rPr>
        <w:t xml:space="preserve">提供完整部署文档 + 远程运维支持服务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cs="宋体" w:eastAsia="宋体" w:hAnsi="宋体"/>
          <w:sz w:val="22"/>
          <w:szCs w:val="22"/>
        </w:rPr>
        <w:t xml:space="preserve">数据迁移：提供 SaaS → 私有化迁移工具，支持全量导出和增量同步</w:t>
      </w:r>
    </w:p>
    <w:p>
      <w:pPr>
        <w:spacing w:after="60" w:before="60"/>
      </w:pPr>
      <w:r>
        <w:t xml:space="preserve"/>
      </w:r>
    </w:p>
    <w:p>
      <w:pPr>
        <w:spacing w:after="40" w:before="40"/>
        <w:ind w:left="360"/>
      </w:pPr>
      <w:r>
        <w:rPr>
          <w:rFonts w:ascii="宋体" w:cs="宋体" w:eastAsia="宋体" w:hAnsi="宋体"/>
          <w:i/>
          <w:iCs/>
          <w:color w:val="7F7F7F"/>
          <w:sz w:val="20"/>
          <w:szCs w:val="20"/>
        </w:rPr>
        <w:t xml:space="preserve">📌 私有化部署需客户自行提供符合规格的服务器资源；GPU 节点为可选项，用于加速本地 Embedding 模型推理。</w:t>
      </w:r>
    </w:p>
    <w:p>
      <w:pPr>
        <w:spacing w:after="60" w:before="60"/>
      </w:pPr>
      <w:r>
        <w:t xml:space="preserve"/>
      </w:r>
    </w:p>
    <w:p>
      <w:pPr>
        <w:pStyle w:val="Heading1"/>
        <w:pageBreakBefore/>
      </w:pPr>
      <w:r>
        <w:rPr>
          <w:rFonts w:ascii="黑体" w:cs="黑体" w:eastAsia="黑体" w:hAnsi="黑体"/>
          <w:b/>
          <w:bCs/>
          <w:color w:val="2E75B6"/>
          <w:sz w:val="36"/>
          <w:szCs w:val="36"/>
        </w:rPr>
        <w:t xml:space="preserve">四、AI 技术实现要点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4.1 物料匹配：向量检索实现</w:t>
      </w:r>
    </w:p>
    <w:p>
      <w:pPr>
        <w:spacing w:after="60" w:before="60" w:line="360" w:lineRule="auto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物料相似度匹配（AI物料匹配）基于混合检索策略，兼顾语义相似和字面精准。</w:t>
      </w:r>
    </w:p>
    <w:p>
      <w:pPr>
        <w:spacing w:after="60" w:before="60"/>
      </w:pPr>
      <w: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算法环节</w:t>
            </w:r>
          </w:p>
        </w:tc>
        <w:tc>
          <w:tcPr>
            <w:tcW w:type="dxa" w:w="7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实现说明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向量化</w:t>
            </w:r>
          </w:p>
        </w:tc>
        <w:tc>
          <w:tcPr>
            <w:tcW w:type="dxa" w:w="7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物料名称、规格、品牌等字段通过 Embedding 模型转为向量，存入 Qdrant；选型：text-embedding-3-small（OpenAI）或本地 BGE 模型，维度 256/768 可选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混合检索</w:t>
            </w:r>
          </w:p>
        </w:tc>
        <w:tc>
          <w:tcPr>
            <w:tcW w:type="dxa" w:w="7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Dense 向量（语义）+ Sparse 向量（BM25 字面）混合打分，提升规格字段的精准匹配率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多维度评分</w:t>
            </w:r>
          </w:p>
        </w:tc>
        <w:tc>
          <w:tcPr>
            <w:tcW w:type="dxa" w:w="7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综合：文本相似度（名称 Jaccard）× 0.4 + 语义相似度 × 0.4 + 品牌匹配度 × 0.2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阈值判定</w:t>
            </w:r>
          </w:p>
        </w:tc>
        <w:tc>
          <w:tcPr>
            <w:tcW w:type="dxa" w:w="7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综合评分 ≥ 0.90 → 标注「高度重复」；≥ 0.75 → 标注「疑似重复」；&lt; 0.75 → 正常入库。阈值为初始值，需上线后根据精召率调整，建议在系统配置中开放可配置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增量更新</w:t>
            </w:r>
          </w:p>
        </w:tc>
        <w:tc>
          <w:tcPr>
            <w:tcW w:type="dxa" w:w="7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新物料入库时同步写入向量库（不全量重建）；删除时标记软删除，定期清理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冷启动策略</w:t>
            </w:r>
          </w:p>
        </w:tc>
        <w:tc>
          <w:tcPr>
            <w:tcW w:type="dxa" w:w="7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数据量 &lt; 100 条时不展示匹配结果，界面显示提示文案；≥ 100 条后自动启用，无需人工干预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性能目标</w:t>
            </w:r>
          </w:p>
        </w:tc>
        <w:tc>
          <w:tcPr>
            <w:tcW w:type="dxa" w:w="7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单次匹配检索延迟 &lt; 500ms；批量导入场景（100条/批）支持并发处理，整体延迟 &lt; 5s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4.2 AI 数据处理 Pipeline（导入治理）</w:t>
      </w:r>
    </w:p>
    <w:p>
      <w:pPr>
        <w:spacing w:after="60" w:before="60" w:line="360" w:lineRule="auto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AI类目治理、AI属性治理、AI物料治理均复用同一套 Pipeline 框架，差异在于 Schema 配置。</w:t>
      </w:r>
    </w:p>
    <w:p>
      <w:pPr>
        <w:spacing w:after="60" w:before="60"/>
      </w:pPr>
      <w: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00"/>
      </w:tblGrid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处理阶段</w:t>
            </w:r>
          </w:p>
        </w:tc>
        <w:tc>
          <w:tcPr>
            <w:tcW w:type="dxa" w:w="7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具体动作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① 原始数据导入</w:t>
            </w:r>
          </w:p>
        </w:tc>
        <w:tc>
          <w:tcPr>
            <w:tcW w:type="dxa" w:w="7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解析 Excel，提取列名和每行数据，支持多 Sheet 合并；运行时动态识别表头，AI 辅助列名对齐到目标 Schema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② AI 数据清洗</w:t>
            </w:r>
          </w:p>
        </w:tc>
        <w:tc>
          <w:tcPr>
            <w:tcW w:type="dxa" w:w="7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处理空值/异常值/格式不统一（如「3mm」「3毫米」→「3」）；材质、规格、品牌等字段按标准规则映射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③ AI 结构化识别</w:t>
            </w:r>
          </w:p>
        </w:tc>
        <w:tc>
          <w:tcPr>
            <w:tcW w:type="dxa" w:w="7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品名识别（映射品名库）→ 类目归类 → 属性值提取；每步输出置信度，低于阈值时标注「待人工确认」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④ 重复检测</w:t>
            </w:r>
          </w:p>
        </w:tc>
        <w:tc>
          <w:tcPr>
            <w:tcW w:type="dxa" w:w="7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与已有物料库比对，标注疑似重复项，展示 Top3 相似结果供用户判断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⑤ 预览与确认</w:t>
            </w:r>
          </w:p>
        </w:tc>
        <w:tc>
          <w:tcPr>
            <w:tcW w:type="dxa" w:w="7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用户在前端表格中查看 AI 处理结果，支持逐行修改；确认后批量写入，系统记录操作日志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⑥ 回滚机制</w:t>
            </w:r>
          </w:p>
        </w:tc>
        <w:tc>
          <w:tcPr>
            <w:tcW w:type="dxa" w:w="7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批量写入后 24h 内支持整批回滚（逻辑删除）；超出时间窗口需人工申请，保留操作审计记录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4.3 Prompt 设计规范</w:t>
      </w:r>
    </w:p>
    <w:p>
      <w:pPr>
        <w:spacing w:after="60" w:before="60" w:line="360" w:lineRule="auto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所有 AI 能力的 Prompt 遵循统一规范，通过 PromptTemplate 类管理，支持变量注入和版本控制。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微软雅黑" w:cs="微软雅黑" w:eastAsia="微软雅黑" w:hAnsi="微软雅黑"/>
          <w:b/>
          <w:bCs/>
          <w:color w:val="404040"/>
          <w:sz w:val="24"/>
          <w:szCs w:val="24"/>
        </w:rPr>
        <w:t xml:space="preserve">类目治理 Prompt 示例</w:t>
      </w:r>
    </w:p>
    <w:p>
      <w:pPr>
        <w:spacing w:after="60" w:before="60" w:line="360" w:lineRule="auto"/>
        <w:ind w:left="360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你是一位物料分类专家，请根据以下类目名称进行标准化分类。</w:t>
      </w:r>
    </w:p>
    <w:p>
      <w:pPr>
        <w:spacing w:after="60" w:before="60" w:line="360" w:lineRule="auto"/>
        <w:ind w:left="360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要求：(1) 一级类目选取最直接的上级分类；(2) 二级类目精确匹配；(3) 最终类目名保留最长精确匹配词。</w:t>
      </w:r>
    </w:p>
    <w:p>
      <w:pPr>
        <w:spacing w:after="60" w:before="60" w:line="360" w:lineRule="auto"/>
        <w:ind w:left="360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示例逻辑：螺丝 → 紧固件 → 螺栓；轴承滚子 → 机械零部件 → 轴承。</w:t>
      </w:r>
    </w:p>
    <w:p>
      <w:pPr>
        <w:spacing w:after="60" w:before="60" w:line="360" w:lineRule="auto"/>
        <w:ind w:left="360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若无法确定分类，返回「不确定」并在备注中说明理由。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微软雅黑" w:cs="微软雅黑" w:eastAsia="微软雅黑" w:hAnsi="微软雅黑"/>
          <w:b/>
          <w:bCs/>
          <w:color w:val="404040"/>
          <w:sz w:val="24"/>
          <w:szCs w:val="24"/>
        </w:rPr>
        <w:t xml:space="preserve">AI 能力通用约束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cs="宋体" w:eastAsia="宋体" w:hAnsi="宋体"/>
          <w:sz w:val="22"/>
          <w:szCs w:val="22"/>
        </w:rPr>
        <w:t xml:space="preserve">所有 AI 输出结果仅作为「推荐值」，需用户确认后生效，不可自动入库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cs="宋体" w:eastAsia="宋体" w:hAnsi="宋体"/>
          <w:sz w:val="22"/>
          <w:szCs w:val="22"/>
        </w:rPr>
        <w:t xml:space="preserve">AI 分析过程全程可解释，前端展示推理依据和置信度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cs="宋体" w:eastAsia="宋体" w:hAnsi="宋体"/>
          <w:sz w:val="22"/>
          <w:szCs w:val="22"/>
        </w:rPr>
        <w:t xml:space="preserve">置信度低于阈值时，前端主动提示「建议人工确认」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cs="宋体" w:eastAsia="宋体" w:hAnsi="宋体"/>
          <w:sz w:val="22"/>
          <w:szCs w:val="22"/>
        </w:rPr>
        <w:t xml:space="preserve">所有 AI 处理结果均记录操作日志，可追溯</w:t>
      </w:r>
    </w:p>
    <w:p>
      <w:pPr>
        <w:spacing w:after="60" w:before="60"/>
      </w:pPr>
      <w:r>
        <w:t xml:space="preserve"/>
      </w:r>
    </w:p>
    <w:p>
      <w:pPr>
        <w:pStyle w:val="Heading1"/>
        <w:pageBreakBefore/>
      </w:pPr>
      <w:r>
        <w:rPr>
          <w:rFonts w:ascii="黑体" w:cs="黑体" w:eastAsia="黑体" w:hAnsi="黑体"/>
          <w:b/>
          <w:bCs/>
          <w:color w:val="2E75B6"/>
          <w:sz w:val="36"/>
          <w:szCs w:val="36"/>
        </w:rPr>
        <w:t xml:space="preserve">五、数据标准化规则示例</w:t>
      </w:r>
    </w:p>
    <w:p>
      <w:pPr>
        <w:spacing w:after="60" w:before="60" w:line="360" w:lineRule="auto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以下为 AI 物料治理中各字段的标准化映射规则，用于指导 Prompt 设计和后处理逻辑。</w:t>
      </w:r>
    </w:p>
    <w:p>
      <w:pPr>
        <w:spacing w:after="60" w:before="60"/>
      </w:pPr>
      <w: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4000"/>
      </w:tblGrid>
      <w:tr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规则类型</w:t>
            </w:r>
          </w:p>
        </w:tc>
        <w:tc>
          <w:tcPr>
            <w:tcW w:type="dxa" w:w="3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输入示例</w:t>
            </w:r>
          </w:p>
        </w:tc>
        <w:tc>
          <w:tcPr>
            <w:tcW w:type="dxa" w:w="4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标准化输出</w:t>
            </w:r>
          </w:p>
        </w:tc>
      </w:tr>
      <w:tr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材质统一</w:t>
            </w:r>
          </w:p>
        </w:tc>
        <w:tc>
          <w:tcPr>
            <w:tcW w:type="dxa" w:w="3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304不锈钢 / 0Cr18Ni9 / 304</w:t>
            </w:r>
          </w:p>
        </w:tc>
        <w:tc>
          <w:tcPr>
            <w:tcW w:type="dxa" w:w="4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304不锈钢（按 GB 标准名称映射）</w:t>
            </w:r>
          </w:p>
        </w:tc>
      </w:tr>
      <w:tr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规格标准化</w:t>
            </w:r>
          </w:p>
        </w:tc>
        <w:tc>
          <w:tcPr>
            <w:tcW w:type="dxa" w:w="3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M10×30 / M10*30 / M10x30</w:t>
            </w:r>
          </w:p>
        </w:tc>
        <w:tc>
          <w:tcPr>
            <w:tcW w:type="dxa" w:w="4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M10×30（统一乘号样式）</w:t>
            </w:r>
          </w:p>
        </w:tc>
      </w:tr>
      <w:tr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品牌映射</w:t>
            </w:r>
          </w:p>
        </w:tc>
        <w:tc>
          <w:tcPr>
            <w:tcW w:type="dxa" w:w="3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博世 / BOSCH / bosch</w:t>
            </w:r>
          </w:p>
        </w:tc>
        <w:tc>
          <w:tcPr>
            <w:tcW w:type="dxa" w:w="4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博世（建立品牌别名表，AI 辅助映射）</w:t>
            </w:r>
          </w:p>
        </w:tc>
      </w:tr>
      <w:tr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单位统一</w:t>
            </w:r>
          </w:p>
        </w:tc>
        <w:tc>
          <w:tcPr>
            <w:tcW w:type="dxa" w:w="3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3KG / 3kg / 3千克</w:t>
            </w:r>
          </w:p>
        </w:tc>
        <w:tc>
          <w:tcPr>
            <w:tcW w:type="dxa" w:w="4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3 千克（按国家计量标准 GB 3100）</w:t>
            </w:r>
          </w:p>
        </w:tc>
      </w:tr>
      <w:tr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数值格式</w:t>
            </w:r>
          </w:p>
        </w:tc>
        <w:tc>
          <w:tcPr>
            <w:tcW w:type="dxa" w:w="3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3mm / 3毫米 / 3毫米(mm)</w:t>
            </w:r>
          </w:p>
        </w:tc>
        <w:tc>
          <w:tcPr>
            <w:tcW w:type="dxa" w:w="4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3（数值字段仅存数字，单位独立字段存储）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40"/>
        <w:ind w:left="360"/>
      </w:pPr>
      <w:r>
        <w:rPr>
          <w:rFonts w:ascii="宋体" w:cs="宋体" w:eastAsia="宋体" w:hAnsi="宋体"/>
          <w:i/>
          <w:iCs/>
          <w:color w:val="7F7F7F"/>
          <w:sz w:val="20"/>
          <w:szCs w:val="20"/>
        </w:rPr>
        <w:t xml:space="preserve">📌 标准化规则表应作为系统配置的一部分，支持运营人员在后台维护，不应硬编码在代码中。</w:t>
      </w:r>
    </w:p>
    <w:p>
      <w:pPr>
        <w:spacing w:after="60" w:before="60"/>
      </w:pPr>
      <w:r>
        <w:t xml:space="preserve"/>
      </w:r>
    </w:p>
    <w:p>
      <w:pPr>
        <w:pStyle w:val="Heading1"/>
        <w:pageBreakBefore/>
      </w:pPr>
      <w:r>
        <w:rPr>
          <w:rFonts w:ascii="黑体" w:cs="黑体" w:eastAsia="黑体" w:hAnsi="黑体"/>
          <w:b/>
          <w:bCs/>
          <w:color w:val="2E75B6"/>
          <w:sz w:val="36"/>
          <w:szCs w:val="36"/>
        </w:rPr>
        <w:t xml:space="preserve">六、性能与安全技术要求</w:t>
      </w:r>
    </w:p>
    <w:p>
      <w:pPr>
        <w:spacing w:after="60" w:before="60"/>
      </w:pPr>
      <w: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00"/>
      </w:tblGrid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7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API 响应</w:t>
            </w:r>
          </w:p>
        </w:tc>
        <w:tc>
          <w:tcPr>
            <w:tcW w:type="dxa" w:w="7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普通 CRUD 接口 P95 延迟 &lt; 300ms；AI 分析接口 P95 &lt; 10s，超时后返回可重试提示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向量检索</w:t>
            </w:r>
          </w:p>
        </w:tc>
        <w:tc>
          <w:tcPr>
            <w:tcW w:type="dxa" w:w="7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单次物料匹配 &lt; 500ms；批量 100 条并发处理 &lt; 5s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LLM 调用</w:t>
            </w:r>
          </w:p>
        </w:tc>
        <w:tc>
          <w:tcPr>
            <w:tcW w:type="dxa" w:w="7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实现超时重试（max 3 次，指数退避）；失败时降级为手动模式，不阻断主流程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数据安全</w:t>
            </w:r>
          </w:p>
        </w:tc>
        <w:tc>
          <w:tcPr>
            <w:tcW w:type="dxa" w:w="7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删除操作逻辑删除 + 二次确认；敏感字段（API Key）使用 AES-256 加密存储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审计日志</w:t>
            </w:r>
          </w:p>
        </w:tc>
        <w:tc>
          <w:tcPr>
            <w:tcW w:type="dxa" w:w="7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所有写操作记录操作人/时间/内容/IP；AI 推理链路（Prompt/Response/Token用量）单独归档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并发控制</w:t>
            </w:r>
          </w:p>
        </w:tc>
        <w:tc>
          <w:tcPr>
            <w:tcW w:type="dxa" w:w="7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批量导入任务异步处理，前端轮询进度；同一租户同时最多 3 个并发导入任务</w:t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宋体" w:cs="宋体" w:eastAsia="宋体" w:hAnsi="宋体"/>
        <w:color w:val="7F7F7F"/>
        <w:sz w:val="18"/>
        <w:szCs w:val="18"/>
      </w:rPr>
      <w:t xml:space="preserve">第 </w:t>
    </w:r>
    <w:r>
      <w:rPr>
        <w:rFonts w:ascii="宋体" w:cs="宋体" w:eastAsia="宋体" w:hAnsi="宋体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color w:val="7F7F7F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宋体" w:cs="宋体" w:eastAsia="宋体" w:hAnsi="宋体"/>
        <w:color w:val="7F7F7F"/>
        <w:sz w:val="18"/>
        <w:szCs w:val="18"/>
      </w:rPr>
      <w:t xml:space="preserve">AI 物料中台  技术架构设计文档  TDD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黑体" w:cs="黑体" w:eastAsia="黑体" w:hAnsi="黑体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微软雅黑" w:cs="微软雅黑" w:eastAsia="微软雅黑" w:hAnsi="微软雅黑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微软雅黑" w:cs="微软雅黑" w:eastAsia="微软雅黑" w:hAnsi="微软雅黑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2026-05-11T02:34:09.729Z</dcterms:created>
  <dcterms:modified xsi:type="dcterms:W3CDTF">2026-05-11T02:34:09.730Z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