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rPr/>
      </w:pPr>
      <w:r>
        <w:rPr>
          <w:b/>
          <w:sz w:val="24"/>
        </w:rPr>
        <w:t>规范组件</w:t>
      </w:r>
      <w:r>
        <w:rPr>
          <w:b/>
          <w:sz w:val="24"/>
        </w:rPr>
        <w:t>LIST</w:t>
      </w:r>
      <w:r>
        <w:rPr>
          <w:b/>
          <w:sz w:val="24"/>
        </w:rPr>
        <w:t>请求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  <w:sz w:val="21"/>
        </w:rPr>
        <w:t>必须使用全量</w:t>
      </w:r>
      <w:r>
        <w:rPr>
          <w:color w:val="262626"/>
          <w:sz w:val="21"/>
        </w:rPr>
        <w:t>LIST</w:t>
      </w:r>
      <w:r>
        <w:rPr>
          <w:color w:val="262626"/>
          <w:sz w:val="21"/>
        </w:rPr>
        <w:t>时添加</w:t>
      </w:r>
      <w:r>
        <w:rPr>
          <w:color w:val="262626"/>
          <w:sz w:val="21"/>
        </w:rPr>
        <w:t>resourceVersion=0</w:t>
      </w:r>
      <w:r>
        <w:rPr>
          <w:color w:val="262626"/>
          <w:sz w:val="21"/>
        </w:rPr>
        <w:t>，从</w:t>
      </w:r>
      <w:r>
        <w:rPr>
          <w:color w:val="262626"/>
          <w:sz w:val="21"/>
        </w:rPr>
        <w:t>APIServer cache</w:t>
      </w:r>
      <w:r>
        <w:rPr>
          <w:color w:val="262626"/>
          <w:sz w:val="21"/>
        </w:rPr>
        <w:t>读取数据，避免一次请求访问全量击穿到</w:t>
      </w:r>
      <w:r>
        <w:rPr>
          <w:color w:val="262626"/>
          <w:sz w:val="21"/>
        </w:rPr>
        <w:t>etcd</w:t>
      </w:r>
      <w:r>
        <w:rPr>
          <w:color w:val="262626"/>
          <w:sz w:val="21"/>
        </w:rPr>
        <w:t>；从</w:t>
      </w:r>
      <w:r>
        <w:rPr>
          <w:color w:val="262626"/>
          <w:sz w:val="21"/>
        </w:rPr>
        <w:t>etcd</w:t>
      </w:r>
      <w:r>
        <w:rPr>
          <w:color w:val="262626"/>
          <w:sz w:val="21"/>
        </w:rPr>
        <w:t>读取大量数据，需要基于</w:t>
      </w:r>
      <w:r>
        <w:rPr>
          <w:color w:val="262626"/>
          <w:sz w:val="21"/>
        </w:rPr>
        <w:t>limit</w:t>
      </w:r>
      <w:r>
        <w:rPr>
          <w:color w:val="262626"/>
          <w:sz w:val="21"/>
        </w:rPr>
        <w:t>使用分页访问。加快访问速度，降低对控制面压力。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Heading4"/>
        <w:pBdr/>
        <w:bidi w:val="0"/>
        <w:spacing w:lineRule="atLeast" w:line="360" w:before="0" w:after="0"/>
        <w:ind w:hanging="0" w:left="0" w:right="0"/>
        <w:rPr/>
      </w:pPr>
      <w:r>
        <w:rPr>
          <w:b/>
          <w:sz w:val="24"/>
        </w:rPr>
        <w:t>序列化编码方式统一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  <w:sz w:val="21"/>
        </w:rPr>
        <w:t>对非</w:t>
      </w:r>
      <w:r>
        <w:rPr>
          <w:color w:val="262626"/>
          <w:sz w:val="21"/>
        </w:rPr>
        <w:t>CRD</w:t>
      </w:r>
      <w:r>
        <w:rPr>
          <w:color w:val="262626"/>
          <w:sz w:val="21"/>
        </w:rPr>
        <w:t>资源的</w:t>
      </w:r>
      <w:r>
        <w:rPr>
          <w:color w:val="262626"/>
          <w:sz w:val="21"/>
        </w:rPr>
        <w:t>API</w:t>
      </w:r>
      <w:r>
        <w:rPr>
          <w:color w:val="262626"/>
          <w:sz w:val="21"/>
        </w:rPr>
        <w:t>序列化协议不使用</w:t>
      </w:r>
      <w:r>
        <w:rPr>
          <w:color w:val="262626"/>
          <w:sz w:val="21"/>
        </w:rPr>
        <w:t>JSON</w:t>
      </w:r>
      <w:r>
        <w:rPr>
          <w:color w:val="262626"/>
          <w:sz w:val="21"/>
        </w:rPr>
        <w:t>，统一使用</w:t>
      </w:r>
      <w:r>
        <w:rPr>
          <w:color w:val="262626"/>
          <w:sz w:val="21"/>
        </w:rPr>
        <w:t>Protobuf</w:t>
      </w:r>
      <w:r>
        <w:rPr>
          <w:color w:val="262626"/>
          <w:sz w:val="21"/>
        </w:rPr>
        <w:t>，相比于</w:t>
      </w:r>
      <w:r>
        <w:rPr>
          <w:color w:val="262626"/>
          <w:sz w:val="21"/>
        </w:rPr>
        <w:t>JSON</w:t>
      </w:r>
      <w:r>
        <w:rPr>
          <w:color w:val="262626"/>
          <w:sz w:val="21"/>
        </w:rPr>
        <w:t>更节省传输流量。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Heading4"/>
        <w:pBdr/>
        <w:bidi w:val="0"/>
        <w:spacing w:lineRule="atLeast" w:line="360" w:before="0" w:after="0"/>
        <w:ind w:hanging="0" w:left="0" w:right="0"/>
        <w:rPr/>
      </w:pPr>
      <w:r>
        <w:rPr>
          <w:b/>
          <w:sz w:val="24"/>
        </w:rPr>
        <w:t>优选使用</w:t>
      </w:r>
      <w:r>
        <w:rPr>
          <w:b/>
          <w:sz w:val="24"/>
        </w:rPr>
        <w:t>Informer</w:t>
      </w:r>
      <w:r>
        <w:rPr>
          <w:b/>
          <w:sz w:val="24"/>
        </w:rPr>
        <w:t>机制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  <w:sz w:val="21"/>
        </w:rPr>
        <w:t>大规模场景下，频繁</w:t>
      </w:r>
      <w:r>
        <w:rPr>
          <w:color w:val="262626"/>
          <w:sz w:val="21"/>
        </w:rPr>
        <w:t>LIST</w:t>
      </w:r>
      <w:r>
        <w:rPr>
          <w:color w:val="262626"/>
          <w:sz w:val="21"/>
        </w:rPr>
        <w:t>大量资源会对管控面</w:t>
      </w:r>
      <w:r>
        <w:rPr>
          <w:color w:val="262626"/>
          <w:sz w:val="21"/>
        </w:rPr>
        <w:t>APIServer</w:t>
      </w:r>
      <w:r>
        <w:rPr>
          <w:color w:val="262626"/>
          <w:sz w:val="21"/>
        </w:rPr>
        <w:t>和</w:t>
      </w:r>
      <w:r>
        <w:rPr>
          <w:color w:val="262626"/>
          <w:sz w:val="21"/>
        </w:rPr>
        <w:t>etcd</w:t>
      </w:r>
      <w:r>
        <w:rPr>
          <w:color w:val="262626"/>
          <w:sz w:val="21"/>
        </w:rPr>
        <w:t>产生显著压力。频繁</w:t>
      </w:r>
      <w:r>
        <w:rPr>
          <w:color w:val="262626"/>
          <w:sz w:val="21"/>
        </w:rPr>
        <w:t>LIST</w:t>
      </w:r>
      <w:r>
        <w:rPr>
          <w:color w:val="262626"/>
          <w:sz w:val="21"/>
        </w:rPr>
        <w:t>的组件需要切换使用</w:t>
      </w:r>
      <w:r>
        <w:rPr>
          <w:color w:val="262626"/>
          <w:sz w:val="21"/>
        </w:rPr>
        <w:t>Informer</w:t>
      </w:r>
      <w:r>
        <w:rPr>
          <w:color w:val="262626"/>
          <w:sz w:val="21"/>
        </w:rPr>
        <w:t>机制。基于</w:t>
      </w:r>
      <w:r>
        <w:rPr>
          <w:color w:val="262626"/>
          <w:sz w:val="21"/>
        </w:rPr>
        <w:t>Informer</w:t>
      </w:r>
      <w:r>
        <w:rPr>
          <w:color w:val="262626"/>
          <w:sz w:val="21"/>
        </w:rPr>
        <w:t>的</w:t>
      </w:r>
      <w:r>
        <w:rPr>
          <w:color w:val="262626"/>
          <w:sz w:val="21"/>
        </w:rPr>
        <w:t>LIST+WATCH</w:t>
      </w:r>
      <w:r>
        <w:rPr>
          <w:color w:val="262626"/>
          <w:sz w:val="21"/>
        </w:rPr>
        <w:t>机制优雅的访问控制面，提升访问速度，降低对控制面压力。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Heading4"/>
        <w:pBdr/>
        <w:bidi w:val="0"/>
        <w:spacing w:lineRule="atLeast" w:line="360" w:before="0" w:after="0"/>
        <w:ind w:hanging="0" w:left="0" w:right="0"/>
        <w:rPr/>
      </w:pPr>
      <w:r>
        <w:rPr>
          <w:b/>
          <w:sz w:val="24"/>
        </w:rPr>
        <w:t>客户端访问资源频度</w:t>
      </w:r>
    </w:p>
    <w:p>
      <w:pPr>
        <w:pStyle w:val="BodyText"/>
        <w:bidi w:val="0"/>
        <w:spacing w:lineRule="auto" w:line="417" w:before="0" w:after="0"/>
        <w:ind w:hanging="0" w:left="0" w:right="0"/>
        <w:rPr/>
      </w:pPr>
      <w:r>
        <w:rPr/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  <w:sz w:val="21"/>
        </w:rPr>
      </w:pPr>
      <w:r>
        <w:rPr>
          <w:color w:val="262626"/>
          <w:sz w:val="21"/>
        </w:rPr>
        <w:t>客户端控制访问大规模全量资源的频度，降低对管控的资源和带宽压力。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Heading4"/>
        <w:pBdr/>
        <w:bidi w:val="0"/>
        <w:spacing w:lineRule="atLeast" w:line="360" w:before="0" w:after="0"/>
        <w:ind w:hanging="0" w:left="0" w:right="0"/>
        <w:rPr/>
      </w:pPr>
      <w:r>
        <w:rPr>
          <w:b/>
          <w:sz w:val="24"/>
        </w:rPr>
        <w:t>对</w:t>
      </w:r>
      <w:r>
        <w:rPr>
          <w:b/>
          <w:sz w:val="24"/>
        </w:rPr>
        <w:t>APIServer</w:t>
      </w:r>
      <w:r>
        <w:rPr>
          <w:b/>
          <w:sz w:val="24"/>
        </w:rPr>
        <w:t>访问的中继方案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  <w:sz w:val="21"/>
        </w:rPr>
        <w:t>大规模场景下，对于</w:t>
      </w:r>
      <w:r>
        <w:rPr>
          <w:color w:val="262626"/>
          <w:sz w:val="21"/>
        </w:rPr>
        <w:t>Daemonset</w:t>
      </w:r>
      <w:r>
        <w:rPr>
          <w:color w:val="262626"/>
          <w:sz w:val="21"/>
        </w:rPr>
        <w:t>、</w:t>
      </w:r>
      <w:r>
        <w:rPr>
          <w:color w:val="262626"/>
          <w:sz w:val="21"/>
        </w:rPr>
        <w:t>ECI pod</w:t>
      </w:r>
      <w:r>
        <w:rPr>
          <w:color w:val="262626"/>
          <w:sz w:val="21"/>
        </w:rPr>
        <w:t>等对</w:t>
      </w:r>
      <w:r>
        <w:rPr>
          <w:color w:val="262626"/>
          <w:sz w:val="21"/>
        </w:rPr>
        <w:t>APIServer</w:t>
      </w:r>
      <w:r>
        <w:rPr>
          <w:color w:val="262626"/>
          <w:sz w:val="21"/>
        </w:rPr>
        <w:t>进行访问的场景，可以设计可横向扩容的中继组件，由中继组件统一访问</w:t>
      </w:r>
      <w:r>
        <w:rPr>
          <w:color w:val="262626"/>
          <w:sz w:val="21"/>
        </w:rPr>
        <w:t>APIServer</w:t>
      </w:r>
      <w:r>
        <w:rPr>
          <w:color w:val="262626"/>
          <w:sz w:val="21"/>
        </w:rPr>
        <w:t>，其他组件从中继组件获取数据。例如</w:t>
      </w:r>
      <w:r>
        <w:rPr>
          <w:color w:val="262626"/>
          <w:sz w:val="21"/>
        </w:rPr>
        <w:t>ACK</w:t>
      </w:r>
      <w:r>
        <w:rPr>
          <w:color w:val="262626"/>
          <w:sz w:val="21"/>
        </w:rPr>
        <w:t>的系统组件</w:t>
      </w:r>
      <w:r>
        <w:rPr>
          <w:color w:val="262626"/>
          <w:sz w:val="21"/>
        </w:rPr>
        <w:t>poseidon</w:t>
      </w:r>
      <w:r>
        <w:rPr>
          <w:color w:val="262626"/>
          <w:sz w:val="21"/>
        </w:rPr>
        <w:t>在</w:t>
      </w:r>
      <w:r>
        <w:rPr>
          <w:color w:val="262626"/>
          <w:sz w:val="21"/>
        </w:rPr>
        <w:t>ECI</w:t>
      </w:r>
      <w:r>
        <w:rPr>
          <w:color w:val="262626"/>
          <w:sz w:val="21"/>
        </w:rPr>
        <w:t>场景下作为</w:t>
      </w:r>
      <w:r>
        <w:rPr>
          <w:color w:val="262626"/>
          <w:sz w:val="21"/>
        </w:rPr>
        <w:t>networkpolicy</w:t>
      </w:r>
      <w:r>
        <w:rPr>
          <w:color w:val="262626"/>
          <w:sz w:val="21"/>
        </w:rPr>
        <w:t>中继使用。降低管控的资源和带宽压力，提升稳定性。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</w:rPr>
        <w:t> </w:t>
      </w:r>
    </w:p>
    <w:p>
      <w:pPr>
        <w:pStyle w:val="BodyText"/>
        <w:bidi w:val="0"/>
        <w:spacing w:lineRule="auto" w:line="417" w:before="0" w:after="0"/>
        <w:ind w:hanging="0" w:left="0" w:right="0"/>
        <w:rPr>
          <w:color w:val="262626"/>
        </w:rPr>
      </w:pPr>
      <w:r>
        <w:rPr>
          <w:color w:val="262626"/>
          <w:sz w:val="21"/>
        </w:rPr>
        <w:t>当前阿里云</w:t>
      </w:r>
      <w:r>
        <w:rPr>
          <w:color w:val="262626"/>
          <w:sz w:val="21"/>
        </w:rPr>
        <w:t>Prometheus</w:t>
      </w:r>
      <w:r>
        <w:rPr>
          <w:color w:val="262626"/>
          <w:sz w:val="21"/>
        </w:rPr>
        <w:t>也是采用此类中继逻辑来减少的集群负载，从而避免随</w:t>
      </w:r>
      <w:r>
        <w:rPr>
          <w:color w:val="262626"/>
          <w:sz w:val="21"/>
        </w:rPr>
        <w:t>K8s</w:t>
      </w:r>
      <w:r>
        <w:rPr>
          <w:color w:val="262626"/>
          <w:sz w:val="21"/>
        </w:rPr>
        <w:t>和部署应用的规模笛卡尔积式地增大对集群的负载，当然此类中继逻辑都需要针对组件定制开发。</w:t>
      </w:r>
    </w:p>
    <w:p>
      <w:pPr>
        <w:pStyle w:val="Normal"/>
        <w:widowControl w:val="false"/>
        <w:bidi w:val="0"/>
        <w:jc w:val="both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DejaVu Serif" w:hAnsi="DejaVu Serif" w:eastAsia="思源宋体" w:cs="思源黑体"/>
      <w:b/>
      <w:bCs/>
      <w:sz w:val="24"/>
      <w:szCs w:val="24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DejaVu Sans" w:hAnsi="DejaVu Sans" w:eastAsia="思源黑体" w:cs="思源黑体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思源黑体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思源黑体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思源黑体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LibreOffice/24.8.4.2-szbt5$Linux_X86_64 LibreOffice_project/480$Build-2-szbt5</Application>
  <AppVersion>15.0000</AppVersion>
  <Pages>2</Pages>
  <Words>436</Words>
  <Characters>614</Characters>
  <CharactersWithSpaces>629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zh-CN</dc:language>
  <cp:lastModifiedBy/>
  <dcterms:modified xsi:type="dcterms:W3CDTF">2025-12-02T15:26:31Z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