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CRC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 App Interface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1: Input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Responsibilities: Get user input from the type in and interface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Collaborators: GetInput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2: ShowOutput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Responsibilities: get the calculated result from HTTP Handler and show them on the interface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Collaborators: ReturnOutput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HTTP Req &amp; Response Handler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1: GetInput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Responsibilities: Get user input from the front 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Collaborators: Input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2: InputStorage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Responsibilities: Store input in appropriate data structures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Collaborators: BMI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3: ReturnOutput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Responsibilities: Return calculated results to the front end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Collaborators: ShowOutput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BMI Calculator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1: Profile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Responsibilities: Saves users sex, weight, height, daily caloric input, misc. 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  <w:t xml:space="preserve">Collaborators: BMICalculator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2: ProfileCalculator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Responsibilities: Calculate BMI (Body Mass Index), BMR (Basal Metabolic Rate), approximately how long he/she will take to reach targeted weight, user’s activity level on a score of (1-5), and user’s Caloric Deficit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Collaborators: Input Storage, Profile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