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09A47">
      <w:r>
        <w:br w:type="textWrapping"/>
      </w:r>
      <w:r>
        <w:br w:type="textWrapping"/>
      </w:r>
      <w:r>
        <w:br w:type="textWrapping"/>
      </w:r>
    </w:p>
    <w:p w14:paraId="795C8560">
      <w:pPr>
        <w:jc w:val="center"/>
      </w:pPr>
      <w:r>
        <w:rPr>
          <w:b/>
          <w:sz w:val="40"/>
        </w:rPr>
        <w:t>人工晶状体推荐系统</w:t>
      </w:r>
      <w:r>
        <w:rPr>
          <w:rFonts w:hint="eastAsia" w:eastAsia="宋体"/>
          <w:b/>
          <w:sz w:val="40"/>
          <w:lang w:val="en-US" w:eastAsia="zh-CN"/>
        </w:rPr>
        <w:t>操作</w:t>
      </w:r>
      <w:r>
        <w:rPr>
          <w:b/>
          <w:sz w:val="40"/>
        </w:rPr>
        <w:t>说明书</w:t>
      </w:r>
      <w:bookmarkStart w:id="23" w:name="_GoBack"/>
      <w:bookmarkEnd w:id="23"/>
    </w:p>
    <w:p w14:paraId="568068F3">
      <w:pPr>
        <w:jc w:val="center"/>
      </w:pPr>
      <w:r>
        <w:br w:type="textWrapping"/>
      </w:r>
      <w:r>
        <w:t>指导教师：__________      项目负责人：__________</w:t>
      </w:r>
      <w:r>
        <w:br w:type="textWrapping"/>
      </w:r>
      <w:r>
        <w:t>单位：计算机科学与工程系</w:t>
      </w:r>
      <w:r>
        <w:br w:type="textWrapping"/>
      </w:r>
      <w:r>
        <w:t>日期：2025年10月</w:t>
      </w:r>
    </w:p>
    <w:p w14:paraId="2C44468B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374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43139AC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B16F88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_Toc26064 </w:instrText>
          </w:r>
          <w:r>
            <w:fldChar w:fldCharType="separate"/>
          </w:r>
          <w:r>
            <w:t>第一章 软件总体设计</w:t>
          </w:r>
          <w:r>
            <w:tab/>
          </w:r>
          <w:r>
            <w:fldChar w:fldCharType="begin"/>
          </w:r>
          <w:r>
            <w:instrText xml:space="preserve"> PAGEREF _Toc26064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F9AAC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_Toc9751 </w:instrText>
          </w:r>
          <w:r>
            <w:fldChar w:fldCharType="separate"/>
          </w:r>
          <w:r>
            <w:t>1.1 系统目标与设计思路</w:t>
          </w:r>
          <w:r>
            <w:tab/>
          </w:r>
          <w:r>
            <w:fldChar w:fldCharType="begin"/>
          </w:r>
          <w:r>
            <w:instrText xml:space="preserve"> PAGEREF _Toc9751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163FAC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_Toc4503 </w:instrText>
          </w:r>
          <w:r>
            <w:fldChar w:fldCharType="separate"/>
          </w:r>
          <w:r>
            <w:t>1.2 系统架构与数据流向</w:t>
          </w:r>
          <w:r>
            <w:tab/>
          </w:r>
          <w:r>
            <w:fldChar w:fldCharType="begin"/>
          </w:r>
          <w:r>
            <w:instrText xml:space="preserve"> PAGEREF _Toc4503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91EB9CF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_Toc18059 </w:instrText>
          </w:r>
          <w:r>
            <w:fldChar w:fldCharType="separate"/>
          </w:r>
          <w:r>
            <w:t>1.3 模块划分与层次结构</w:t>
          </w:r>
          <w:r>
            <w:tab/>
          </w:r>
          <w:r>
            <w:fldChar w:fldCharType="begin"/>
          </w:r>
          <w:r>
            <w:instrText xml:space="preserve"> PAGEREF _Toc18059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2633C1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_Toc3077 </w:instrText>
          </w:r>
          <w:r>
            <w:fldChar w:fldCharType="separate"/>
          </w:r>
          <w:r>
            <w:t>1.4 系统工作流程</w:t>
          </w:r>
          <w:r>
            <w:tab/>
          </w:r>
          <w:r>
            <w:fldChar w:fldCharType="begin"/>
          </w:r>
          <w:r>
            <w:instrText xml:space="preserve"> PAGEREF _Toc3077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754E1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_Toc28289 </w:instrText>
          </w:r>
          <w:r>
            <w:fldChar w:fldCharType="separate"/>
          </w:r>
          <w:r>
            <w:t>第二章 系统接口设计</w:t>
          </w:r>
          <w:r>
            <w:tab/>
          </w:r>
          <w:r>
            <w:fldChar w:fldCharType="begin"/>
          </w:r>
          <w:r>
            <w:instrText xml:space="preserve"> PAGEREF _Toc28289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9FCE1B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_Toc20095 </w:instrText>
          </w:r>
          <w:r>
            <w:fldChar w:fldCharType="separate"/>
          </w:r>
          <w:r>
            <w:t>2.1 登录与注册接口</w:t>
          </w:r>
          <w:r>
            <w:tab/>
          </w:r>
          <w:r>
            <w:fldChar w:fldCharType="begin"/>
          </w:r>
          <w:r>
            <w:instrText xml:space="preserve"> PAGEREF _Toc20095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C05C89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_Toc30625 </w:instrText>
          </w:r>
          <w:r>
            <w:fldChar w:fldCharType="separate"/>
          </w:r>
          <w:r>
            <w:t>2.2 用户信息输入接口</w:t>
          </w:r>
          <w:r>
            <w:tab/>
          </w:r>
          <w:r>
            <w:fldChar w:fldCharType="begin"/>
          </w:r>
          <w:r>
            <w:instrText xml:space="preserve"> PAGEREF _Toc30625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F5BC92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_Toc17047 </w:instrText>
          </w:r>
          <w:r>
            <w:fldChar w:fldCharType="separate"/>
          </w:r>
          <w:r>
            <w:t>2.3 决策树逻辑接口</w:t>
          </w:r>
          <w:r>
            <w:tab/>
          </w:r>
          <w:r>
            <w:fldChar w:fldCharType="begin"/>
          </w:r>
          <w:r>
            <w:instrText xml:space="preserve"> PAGEREF _Toc17047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F8D0D3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_Toc27032 </w:instrText>
          </w:r>
          <w:r>
            <w:fldChar w:fldCharType="separate"/>
          </w:r>
          <w:r>
            <w:t>2.4 晶状体推荐接口</w:t>
          </w:r>
          <w:r>
            <w:tab/>
          </w:r>
          <w:r>
            <w:fldChar w:fldCharType="begin"/>
          </w:r>
          <w:r>
            <w:instrText xml:space="preserve"> PAGEREF _Toc27032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25022B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_Toc3102 </w:instrText>
          </w:r>
          <w:r>
            <w:fldChar w:fldCharType="separate"/>
          </w:r>
          <w:r>
            <w:t>2.5 错误处理与安全机制</w:t>
          </w:r>
          <w:r>
            <w:tab/>
          </w:r>
          <w:r>
            <w:fldChar w:fldCharType="begin"/>
          </w:r>
          <w:r>
            <w:instrText xml:space="preserve"> PAGEREF _Toc3102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1AA008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_Toc4190 </w:instrText>
          </w:r>
          <w:r>
            <w:fldChar w:fldCharType="separate"/>
          </w:r>
          <w:r>
            <w:t>第三章 模块与函数设计</w:t>
          </w:r>
          <w:r>
            <w:tab/>
          </w:r>
          <w:r>
            <w:fldChar w:fldCharType="begin"/>
          </w:r>
          <w:r>
            <w:instrText xml:space="preserve"> PAGEREF _Toc4190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49E49D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_Toc26838 </w:instrText>
          </w:r>
          <w:r>
            <w:fldChar w:fldCharType="separate"/>
          </w:r>
          <w:r>
            <w:t>3.1 模块功能说明</w:t>
          </w:r>
          <w:r>
            <w:tab/>
          </w:r>
          <w:r>
            <w:fldChar w:fldCharType="begin"/>
          </w:r>
          <w:r>
            <w:instrText xml:space="preserve"> PAGEREF _Toc26838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2DC81E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_Toc30131 </w:instrText>
          </w:r>
          <w:r>
            <w:fldChar w:fldCharType="separate"/>
          </w:r>
          <w:r>
            <w:t>3.2 函数设计说明</w:t>
          </w:r>
          <w:r>
            <w:tab/>
          </w:r>
          <w:r>
            <w:fldChar w:fldCharType="begin"/>
          </w:r>
          <w:r>
            <w:instrText xml:space="preserve"> PAGEREF _Toc30131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42F017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_Toc31356 </w:instrText>
          </w:r>
          <w:r>
            <w:fldChar w:fldCharType="separate"/>
          </w:r>
          <w:r>
            <w:t>第四章 算法说明</w:t>
          </w:r>
          <w:r>
            <w:tab/>
          </w:r>
          <w:r>
            <w:fldChar w:fldCharType="begin"/>
          </w:r>
          <w:r>
            <w:instrText xml:space="preserve"> PAGEREF _Toc31356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70DE6E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_Toc24438 </w:instrText>
          </w:r>
          <w:r>
            <w:fldChar w:fldCharType="separate"/>
          </w:r>
          <w:r>
            <w:t>4.1 决策树推荐算法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A9374F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_Toc13882 </w:instrText>
          </w:r>
          <w:r>
            <w:fldChar w:fldCharType="separate"/>
          </w:r>
          <w:r>
            <w:t>4.2 病例匹配算法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2328E2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_Toc16836 </w:instrText>
          </w:r>
          <w:r>
            <w:fldChar w:fldCharType="separate"/>
          </w:r>
          <w:r>
            <w:t>4.3 模型训练与自学习</w:t>
          </w:r>
          <w:r>
            <w:tab/>
          </w:r>
          <w:r>
            <w:fldChar w:fldCharType="begin"/>
          </w:r>
          <w:r>
            <w:instrText xml:space="preserve"> PAGEREF _Toc16836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858A46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_Toc19670 </w:instrText>
          </w:r>
          <w:r>
            <w:fldChar w:fldCharType="separate"/>
          </w:r>
          <w:r>
            <w:t>第五章 运行设计</w:t>
          </w:r>
          <w:r>
            <w:tab/>
          </w:r>
          <w:r>
            <w:fldChar w:fldCharType="begin"/>
          </w:r>
          <w:r>
            <w:instrText xml:space="preserve"> PAGEREF _Toc19670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B85303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_Toc19200 </w:instrText>
          </w:r>
          <w:r>
            <w:fldChar w:fldCharType="separate"/>
          </w:r>
          <w:r>
            <w:t>5.1 系统部署方案</w:t>
          </w:r>
          <w:r>
            <w:tab/>
          </w:r>
          <w:r>
            <w:fldChar w:fldCharType="begin"/>
          </w:r>
          <w:r>
            <w:instrText xml:space="preserve"> PAGEREF _Toc19200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1398F8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_Toc14605 </w:instrText>
          </w:r>
          <w:r>
            <w:fldChar w:fldCharType="separate"/>
          </w:r>
          <w:r>
            <w:t>5.2 数据库与安全设计</w:t>
          </w:r>
          <w:r>
            <w:tab/>
          </w:r>
          <w:r>
            <w:fldChar w:fldCharType="begin"/>
          </w:r>
          <w:r>
            <w:instrText xml:space="preserve"> PAGEREF _Toc14605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EE5B47">
          <w:pPr>
            <w:pStyle w:val="2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_Toc8504 </w:instrText>
          </w:r>
          <w:r>
            <w:fldChar w:fldCharType="separate"/>
          </w:r>
          <w:r>
            <w:t>5.3 性能优化与监控</w:t>
          </w:r>
          <w:r>
            <w:tab/>
          </w:r>
          <w:r>
            <w:fldChar w:fldCharType="begin"/>
          </w:r>
          <w:r>
            <w:instrText xml:space="preserve"> PAGEREF _Toc8504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97CFC1">
          <w:pPr>
            <w:pStyle w:val="26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_Toc19956 </w:instrText>
          </w:r>
          <w:r>
            <w:fldChar w:fldCharType="separate"/>
          </w:r>
          <w:r>
            <w:t>第六章 后续优化与维护计划</w:t>
          </w:r>
          <w:r>
            <w:tab/>
          </w:r>
          <w:r>
            <w:fldChar w:fldCharType="begin"/>
          </w:r>
          <w:r>
            <w:instrText xml:space="preserve"> PAGEREF _Toc19956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65A3C7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7F7914CB">
      <w:pPr>
        <w:pStyle w:val="3"/>
      </w:pPr>
      <w:bookmarkStart w:id="0" w:name="_Toc26064"/>
      <w:r>
        <w:t>第一章 软件总体设计</w:t>
      </w:r>
      <w:bookmarkEnd w:id="0"/>
    </w:p>
    <w:p w14:paraId="61F7C3A1">
      <w:r>
        <w:t>本章对人工晶状体推荐系统的整体设计理念、系统结构、模块划分及数据流向进行说明，明确系统的设计目标与运行逻辑。本系统旨在通过人工智能算法与临床知识库相结合，实现白内障手术中人工晶状体（IOL）的标准化与个性化推荐，以减少医生主观经验差异，提高推荐准确性与手术安全性。</w:t>
      </w:r>
    </w:p>
    <w:p w14:paraId="0DADFF51">
      <w:pPr>
        <w:pStyle w:val="4"/>
      </w:pPr>
      <w:bookmarkStart w:id="1" w:name="_Toc9751"/>
      <w:r>
        <w:t>1.1 系统目标与设计思路</w:t>
      </w:r>
      <w:bookmarkEnd w:id="1"/>
    </w:p>
    <w:p w14:paraId="1E09950E">
      <w:r>
        <w:t>系统的设计核心是“数据驱动 + 智能决策 + 闭环优化”。通过多维患者数据输入、基于决策树与病例相似度的推荐算法、RAG辅助解释模块及术后反馈机制，形成一个持续自学习的智能推荐闭环。系统同时兼顾用户体验与医学安全性，提供稳定、可解释、可追溯的推荐结果。</w:t>
      </w:r>
    </w:p>
    <w:p w14:paraId="33382A15">
      <w:pPr>
        <w:pStyle w:val="4"/>
      </w:pPr>
      <w:bookmarkStart w:id="2" w:name="_Toc4503"/>
      <w:r>
        <w:t>1.2 系统架构与数据流向</w:t>
      </w:r>
      <w:bookmarkEnd w:id="2"/>
    </w:p>
    <w:p w14:paraId="68004AEE">
      <w:r>
        <w:t>系统采用分层架构设计，共分为五个层次：</w:t>
      </w:r>
      <w:r>
        <w:br w:type="textWrapping"/>
      </w:r>
      <w:r>
        <w:t>（1）用户交互层：医生登录、患者信息录入、结果展示；</w:t>
      </w:r>
      <w:r>
        <w:br w:type="textWrapping"/>
      </w:r>
      <w:r>
        <w:t>（2）逻辑控制层：实现数据验证、接口调用与任务调度；</w:t>
      </w:r>
      <w:r>
        <w:br w:type="textWrapping"/>
      </w:r>
      <w:r>
        <w:t>（3）AI推荐层：运行决策树逻辑与病例匹配算法；</w:t>
      </w:r>
      <w:r>
        <w:br w:type="textWrapping"/>
      </w:r>
      <w:r>
        <w:t>（4）数据存储层：负责数据加密、索引与历史病例管理；</w:t>
      </w:r>
      <w:r>
        <w:br w:type="textWrapping"/>
      </w:r>
      <w:r>
        <w:t>（5）反馈优化层：实现模型的自学习与性能评估。</w:t>
      </w:r>
      <w:r>
        <w:br w:type="textWrapping"/>
      </w:r>
    </w:p>
    <w:p w14:paraId="37692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12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50815" cy="1870710"/>
            <wp:effectExtent l="0" t="0" r="6985" b="152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7F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12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图6. 基于多模态眼部特征的人工晶状体智能选择系统框架</w:t>
      </w:r>
    </w:p>
    <w:p w14:paraId="631C16BC"/>
    <w:p w14:paraId="5CC367CD">
      <w:r>
        <w:t>【此处应插入软件总体架构图】</w:t>
      </w:r>
    </w:p>
    <w:p w14:paraId="60C0D2E0">
      <w:pPr>
        <w:pStyle w:val="4"/>
      </w:pPr>
      <w:bookmarkStart w:id="3" w:name="_Toc18059"/>
      <w:r>
        <w:t>1.3 模块划分与层次结构</w:t>
      </w:r>
      <w:bookmarkEnd w:id="3"/>
    </w:p>
    <w:p w14:paraId="34083FA8">
      <w:r>
        <w:t>系统的各功能模块之间通过标准化API实现数据交互。模块划分包括：登录注册模块、信息输入模块、智能推荐模块、可视化展示模块、反馈优化模块与管理员监控模块。每个模块独立运行，又通过统一的接口协议实现信息流通与协同工作。</w:t>
      </w:r>
    </w:p>
    <w:p w14:paraId="654D14FB">
      <w:r>
        <w:t>【此处应插入系统逻辑框图】</w:t>
      </w:r>
    </w:p>
    <w:p w14:paraId="509B38A1">
      <w:pPr>
        <w:pStyle w:val="4"/>
      </w:pPr>
      <w:bookmarkStart w:id="4" w:name="_Toc3077"/>
      <w:r>
        <w:t>1.4 系统工作流程</w:t>
      </w:r>
      <w:bookmarkEnd w:id="4"/>
    </w:p>
    <w:p w14:paraId="1AB788CA">
      <w:r>
        <w:t>系统运行流程如下：</w:t>
      </w:r>
      <w:r>
        <w:br w:type="textWrapping"/>
      </w:r>
      <w:r>
        <w:t>1. 医生登录系统；</w:t>
      </w:r>
      <w:r>
        <w:br w:type="textWrapping"/>
      </w:r>
      <w:r>
        <w:t>2. 录入患者的基本与眼科参数信息；</w:t>
      </w:r>
      <w:r>
        <w:br w:type="textWrapping"/>
      </w:r>
      <w:r>
        <w:t>3. 系统执行数据预处理与标准化；</w:t>
      </w:r>
      <w:r>
        <w:br w:type="textWrapping"/>
      </w:r>
      <w:r>
        <w:t>4. 调用AI推荐引擎，生成个性化推荐方案；</w:t>
      </w:r>
      <w:r>
        <w:br w:type="textWrapping"/>
      </w:r>
      <w:r>
        <w:t>5. 输出推荐结果报告并可视化展示；</w:t>
      </w:r>
      <w:r>
        <w:br w:type="textWrapping"/>
      </w:r>
      <w:r>
        <w:t>6. 收集术后反馈数据，用于模型再训练与优化。</w:t>
      </w:r>
    </w:p>
    <w:p w14:paraId="4389A681">
      <w:r>
        <w:t>【此处应插入系统功能流程图】</w:t>
      </w:r>
    </w:p>
    <w:p w14:paraId="61CE5FA5">
      <w:pPr>
        <w:pStyle w:val="3"/>
      </w:pPr>
      <w:bookmarkStart w:id="5" w:name="_Toc28289"/>
      <w:r>
        <w:t>第二章 系统接口设计</w:t>
      </w:r>
      <w:bookmarkEnd w:id="5"/>
    </w:p>
    <w:p w14:paraId="7B646870">
      <w:r>
        <w:t>系统接口设计遵循高内聚、低耦合的原则，以模块化、标准化、可扩展为设计目标。系统整体采用RESTful风格API，实现前后端分离与跨平台通信。接口通信统一使用HTTPS协议，保证数据在传输过程中的加密与完整性。系统整体接口划分为用户接口层（UI Layer）、逻辑服务层（Service Layer）与数据访问层（Data Access Layer）三部分，分别负责信息交互、业务逻辑处理与数据库操作。所有接口均支持JSON格式数据交互，并提供接口版本控制（如 /api/v1/），以便后续系统升级与兼容性维护。</w:t>
      </w:r>
    </w:p>
    <w:p w14:paraId="5314FB64">
      <w:pPr>
        <w:pStyle w:val="4"/>
      </w:pPr>
      <w:bookmarkStart w:id="6" w:name="_Toc20095"/>
      <w:r>
        <w:t>2.1 登录与注册接口</w:t>
      </w:r>
      <w:bookmarkEnd w:id="6"/>
    </w:p>
    <w:p w14:paraId="066C42D7">
      <w:pPr>
        <w:spacing w:line="240" w:lineRule="auto"/>
      </w:pPr>
      <w:r>
        <w:t>该接口主要实现用户身份验证与权限控制，是系统的入口模块。医生用户通过实名注册进入系统，需提交姓名、执业编号、所属医院等基础信息，经管理员审核后方可激活账户。管理员账号由系统初始化创建，具有对所有医生及患者信息的全局访问与维护权限。接口返回令牌作为后续所有接口访问的凭证，用于保持会话状态与操作权限。</w:t>
      </w:r>
    </w:p>
    <w:p w14:paraId="06B5694D">
      <w:r>
        <w:drawing>
          <wp:inline distT="0" distB="0" distL="114300" distR="114300">
            <wp:extent cx="5476240" cy="2806065"/>
            <wp:effectExtent l="0" t="0" r="1016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3905">
      <w:pPr>
        <w:pStyle w:val="4"/>
      </w:pPr>
      <w:bookmarkStart w:id="7" w:name="_Toc30625"/>
      <w:r>
        <w:t>2.2 用户信息输入接口</w:t>
      </w:r>
      <w:bookmarkEnd w:id="7"/>
    </w:p>
    <w:p w14:paraId="798509E1">
      <w:pPr>
        <w:spacing w:line="240" w:lineRule="auto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4"/>
        </w:rPr>
        <w:t>该接口用于接收患者基础信息与术前检查参数，作为后续决策树逻辑判断与个性化晶状体推荐的输入。系统支持用户直接录入、文件批量导入以及数据库自动同步三种方式，具备自动检测缺失值、异常值与格式错误的功能。</w:t>
      </w:r>
      <w:r>
        <w:rPr>
          <w:rFonts w:ascii="宋体" w:hAnsi="宋体" w:eastAsia="宋体"/>
          <w:sz w:val="24"/>
        </w:rPr>
        <w:drawing>
          <wp:inline distT="0" distB="0" distL="114300" distR="114300">
            <wp:extent cx="2615565" cy="1631315"/>
            <wp:effectExtent l="0" t="0" r="13335" b="6985"/>
            <wp:docPr id="2" name="图片 2" descr="问卷评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问卷评估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600325" cy="1621790"/>
            <wp:effectExtent l="0" t="0" r="9525" b="16510"/>
            <wp:docPr id="3" name="图片 3" descr="问卷评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问卷评估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E601">
      <w:pPr>
        <w:pStyle w:val="4"/>
      </w:pPr>
      <w:bookmarkStart w:id="8" w:name="_Toc17047"/>
      <w:r>
        <w:t>2.3 决策树逻辑接口</w:t>
      </w:r>
      <w:bookmarkEnd w:id="8"/>
    </w:p>
    <w:p w14:paraId="4559F9F9">
      <w:pPr>
        <w:spacing w:line="24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该模块为系统核心推理接口，用于根据患者输入信息自动调用决策树推理引擎，生成交互式问题路径，实现逐步筛选晶状体类型与屈光参数的智能判断。支持动态逻辑更新与多节点决策分支。</w:t>
      </w:r>
    </w:p>
    <w:p w14:paraId="54AD8096">
      <w:pPr>
        <w:spacing w:line="240" w:lineRule="auto"/>
        <w:rPr>
          <w:rFonts w:ascii="宋体" w:hAnsi="宋体" w:eastAsia="宋体"/>
          <w:sz w:val="24"/>
        </w:rPr>
      </w:pPr>
    </w:p>
    <w:p w14:paraId="0F196356">
      <w:pPr>
        <w:pStyle w:val="4"/>
      </w:pPr>
      <w:bookmarkStart w:id="9" w:name="_Toc27032"/>
      <w:r>
        <w:t>2.4 晶状体推荐接口</w:t>
      </w:r>
      <w:bookmarkEnd w:id="9"/>
    </w:p>
    <w:p w14:paraId="2268D7D2">
      <w:pPr>
        <w:spacing w:line="240" w:lineRule="auto"/>
      </w:pPr>
      <w:r>
        <w:rPr>
          <w:rFonts w:ascii="宋体" w:hAnsi="宋体" w:eastAsia="宋体"/>
          <w:sz w:val="24"/>
        </w:rPr>
        <w:t>该接口在决策逻辑完成后调用，主要负责将患者输入参数与历史病例数据库进行特征匹配，通过综合分析得到最优人工晶状体推荐方案，并输出推荐型号、屈光参数及置信度评分。</w:t>
      </w:r>
    </w:p>
    <w:p w14:paraId="7BEB67C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9415" cy="3416935"/>
            <wp:effectExtent l="0" t="0" r="6985" b="12065"/>
            <wp:docPr id="4" name="图片 4" descr="问卷评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问卷评估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5A2">
      <w:pPr>
        <w:pStyle w:val="4"/>
        <w:rPr>
          <w:rFonts w:hint="default" w:eastAsia="宋体"/>
          <w:lang w:val="en-US" w:eastAsia="zh-CN"/>
        </w:rPr>
      </w:pPr>
      <w:bookmarkStart w:id="10" w:name="_Toc3102"/>
      <w:r>
        <w:t xml:space="preserve">2.5 </w:t>
      </w:r>
      <w:bookmarkEnd w:id="10"/>
      <w:r>
        <w:rPr>
          <w:rFonts w:hint="eastAsia" w:eastAsia="宋体"/>
          <w:lang w:val="en-US" w:eastAsia="zh-CN"/>
        </w:rPr>
        <w:t>用户信息管理接口</w:t>
      </w:r>
    </w:p>
    <w:p w14:paraId="373D6A8D">
      <w:pPr>
        <w:spacing w:line="24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这里主要分成两个部分，一个是对医生和系统管理员的管理，一个是对患者的管理。医生只能看到自己记录的患者信息，管理员可以看到所有患者的病例信息，同时管理员也可以给医生升级或者降级。</w:t>
      </w:r>
    </w:p>
    <w:p w14:paraId="38193D65">
      <w:pPr>
        <w:spacing w:line="240" w:lineRule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9415" cy="3416935"/>
            <wp:effectExtent l="0" t="0" r="6985" b="12065"/>
            <wp:docPr id="5" name="图片 5" descr="患者记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患者记录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9415" cy="3416935"/>
            <wp:effectExtent l="0" t="0" r="6985" b="12065"/>
            <wp:docPr id="6" name="图片 6" descr="所有患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所有患者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79415" cy="3416935"/>
            <wp:effectExtent l="0" t="0" r="6985" b="12065"/>
            <wp:docPr id="7" name="图片 7" descr="患者记录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患者记录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DF43">
      <w:pPr>
        <w:pStyle w:val="3"/>
      </w:pPr>
      <w:bookmarkStart w:id="11" w:name="_Toc4190"/>
      <w:r>
        <w:t>第三章 模块与函数设计</w:t>
      </w:r>
      <w:bookmarkEnd w:id="11"/>
    </w:p>
    <w:p w14:paraId="5DC8AEE3">
      <w:r>
        <w:t>系统各功能模块均封装为独立服务。模块间通过函数接口调用实现任务流转。核心模块包括：登录模块、数据管理模块、AI推荐模块、报告生成模块与反馈模块。</w:t>
      </w:r>
    </w:p>
    <w:p w14:paraId="2521273D">
      <w:pPr>
        <w:pStyle w:val="4"/>
      </w:pPr>
      <w:bookmarkStart w:id="12" w:name="_Toc26838"/>
      <w:r>
        <w:t>3.1 模块功能说明</w:t>
      </w:r>
      <w:bookmarkEnd w:id="12"/>
    </w:p>
    <w:p w14:paraId="1EBA99A9">
      <w:r>
        <w:t>（1）登录模块：实现医生注册、登录、权限分配；</w:t>
      </w:r>
      <w:r>
        <w:br w:type="textWrapping"/>
      </w:r>
      <w:r>
        <w:t>（2）数据管理模块：负责患者数据录入、格式校验、存储与查询；</w:t>
      </w:r>
      <w:r>
        <w:br w:type="textWrapping"/>
      </w:r>
      <w:r>
        <w:t>（3）AI推荐模块：包含决策树推理与病例相似度计算；</w:t>
      </w:r>
      <w:r>
        <w:br w:type="textWrapping"/>
      </w:r>
      <w:r>
        <w:t>（4）报告生成模块：输出可视化推荐报告与置信度分析；</w:t>
      </w:r>
      <w:r>
        <w:br w:type="textWrapping"/>
      </w:r>
      <w:r>
        <w:t>（5）反馈模块：收集术后结果，更新模型参数；</w:t>
      </w:r>
      <w:r>
        <w:br w:type="textWrapping"/>
      </w:r>
      <w:r>
        <w:t>（6）管理员模块：监控系统运行状态与数据使用。</w:t>
      </w:r>
    </w:p>
    <w:p w14:paraId="40B31D1E">
      <w:pPr>
        <w:pStyle w:val="4"/>
      </w:pPr>
      <w:bookmarkStart w:id="13" w:name="_Toc30131"/>
      <w:r>
        <w:t>3.2 函数设计说明</w:t>
      </w:r>
      <w:bookmarkEnd w:id="13"/>
    </w:p>
    <w:tbl>
      <w:tblPr>
        <w:tblStyle w:val="3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1818"/>
        <w:gridCol w:w="2459"/>
        <w:gridCol w:w="2201"/>
      </w:tblGrid>
      <w:tr w14:paraId="160FF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4E492F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函数名称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230B2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主要功能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D374D4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输入参数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AF3F2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输出结果</w:t>
            </w:r>
          </w:p>
        </w:tc>
      </w:tr>
      <w:tr w14:paraId="74812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1FBA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login_user()</w:t>
            </w:r>
          </w:p>
        </w:tc>
        <w:tc>
          <w:tcPr>
            <w:tcW w:w="21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69EF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医生登录与身份验证</w:t>
            </w:r>
          </w:p>
        </w:tc>
        <w:tc>
          <w:tcPr>
            <w:tcW w:w="21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5ABD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username, password</w:t>
            </w:r>
          </w:p>
        </w:tc>
        <w:tc>
          <w:tcPr>
            <w:tcW w:w="21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56D06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token, role</w:t>
            </w:r>
          </w:p>
        </w:tc>
      </w:tr>
      <w:tr w14:paraId="77B45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594B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register_user()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075C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医生注册并写入数据库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D92F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form_data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4423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success_flag</w:t>
            </w:r>
          </w:p>
        </w:tc>
      </w:tr>
      <w:tr w14:paraId="44C44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793D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process_input_data()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3B4164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标准化患者输入数据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ABA7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raw_data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0EB2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clean_data</w:t>
            </w:r>
          </w:p>
        </w:tc>
      </w:tr>
      <w:tr w14:paraId="55B64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22B6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run_decision_tree()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E3F57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执行决策树推理逻辑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EABEF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patient_data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23DD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recommendation_list</w:t>
            </w:r>
          </w:p>
        </w:tc>
      </w:tr>
      <w:tr w14:paraId="55E2C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7F257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match_case_database()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90AB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匹配相似病例并优化推荐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E0A04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features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1195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matched_case_info</w:t>
            </w:r>
          </w:p>
        </w:tc>
      </w:tr>
      <w:tr w14:paraId="77BED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D6C96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generate_report()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42496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生成推荐报告与置信度分析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1BACDE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recommendation_result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07119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PDF/HTML报告文件</w:t>
            </w:r>
          </w:p>
        </w:tc>
      </w:tr>
    </w:tbl>
    <w:p w14:paraId="4A117FFB">
      <w:r>
        <w:br w:type="textWrapping"/>
      </w:r>
    </w:p>
    <w:p w14:paraId="6223360E">
      <w:pPr>
        <w:pStyle w:val="3"/>
      </w:pPr>
      <w:bookmarkStart w:id="14" w:name="_Toc31356"/>
      <w:r>
        <w:t>第四章 算法说明</w:t>
      </w:r>
      <w:bookmarkEnd w:id="14"/>
    </w:p>
    <w:p w14:paraId="476E8989">
      <w:r>
        <w:t>系统核心算法分为两部分：决策树推荐算法与病例相似度匹配算法。</w:t>
      </w:r>
      <w:r>
        <w:br w:type="textWrapping"/>
      </w:r>
      <w:r>
        <w:t>决策树算法基于临床经验规则建立，按照患者输入特征逐层筛选晶体类型；病例匹配算法采用加权K近邻（KNN）模型，通过特征向量距离计算与加权平均，匹配历史效果最优的病例样本进行二次修正。</w:t>
      </w:r>
    </w:p>
    <w:p w14:paraId="7949FF0E">
      <w:pPr>
        <w:pStyle w:val="4"/>
      </w:pPr>
      <w:bookmarkStart w:id="15" w:name="_Toc24438"/>
      <w:r>
        <w:t>4.1 决策树推荐算法</w:t>
      </w:r>
      <w:bookmarkEnd w:id="15"/>
    </w:p>
    <w:p w14:paraId="3206819D">
      <w:r>
        <w:t>系统根据输入的屈光参数、角膜曲率等特征在决策树模型中逐步筛选路径，最终确定推荐的晶体类型与屈光设计方案。该算法可解释性强，适用于规则明确、特征相对稳定的医疗场景。</w:t>
      </w:r>
    </w:p>
    <w:p w14:paraId="027567E8">
      <w:pPr>
        <w:pStyle w:val="4"/>
      </w:pPr>
      <w:bookmarkStart w:id="16" w:name="_Toc13882"/>
      <w:r>
        <w:t>4.2 病例匹配算法</w:t>
      </w:r>
      <w:bookmarkEnd w:id="16"/>
    </w:p>
    <w:p w14:paraId="360DD711">
      <w:r>
        <w:t>在获得初步推荐后，系统调用病例数据库中的历史样本，计算输入患者与历史病例的特征相似度。采用余弦相似度与欧式距离混合加权策略，最终输出最优匹配的病例及其术后表现，作为推荐校正依据。</w:t>
      </w:r>
    </w:p>
    <w:p w14:paraId="56E58603">
      <w:pPr>
        <w:pStyle w:val="4"/>
      </w:pPr>
      <w:bookmarkStart w:id="17" w:name="_Toc16836"/>
      <w:r>
        <w:t>4.3 模型训练与自学习</w:t>
      </w:r>
      <w:bookmarkEnd w:id="17"/>
    </w:p>
    <w:p w14:paraId="0A4EB343">
      <w:r>
        <w:t>系统采用周期性模型更新机制。每次术后反馈录入后，模型会自动重新评估推荐偏差，并更新特征权重以优化推荐精度。通过持续学习，系统在长期使用中具备自我进化能力。</w:t>
      </w:r>
    </w:p>
    <w:p w14:paraId="779C57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12" w:lineRule="auto"/>
        <w:ind w:leftChars="0" w:firstLine="44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4915535" cy="3687445"/>
            <wp:effectExtent l="0" t="0" r="8890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1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12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图5. </w:t>
      </w:r>
      <w:r>
        <w:rPr>
          <w:rFonts w:hint="eastAsia" w:ascii="宋体" w:hAnsi="宋体" w:eastAsia="宋体" w:cs="宋体"/>
          <w:sz w:val="24"/>
          <w:szCs w:val="24"/>
        </w:rPr>
        <w:t>人工晶状体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选择的决策模型</w:t>
      </w:r>
    </w:p>
    <w:p w14:paraId="19684935"/>
    <w:p w14:paraId="0F8EFF0F">
      <w:pPr>
        <w:pStyle w:val="3"/>
      </w:pPr>
      <w:bookmarkStart w:id="18" w:name="_Toc19670"/>
      <w:r>
        <w:t>第五章 运行设计</w:t>
      </w:r>
      <w:bookmarkEnd w:id="18"/>
    </w:p>
    <w:p w14:paraId="592F024F">
      <w:r>
        <w:t>系统运行设计包括部署环境、数据库管理、日志监控与性能优化。系统支持多平台运行，兼容Windows与Linux服务器，可采用Docker容器化部署。</w:t>
      </w:r>
    </w:p>
    <w:p w14:paraId="41541760">
      <w:pPr>
        <w:pStyle w:val="4"/>
      </w:pPr>
      <w:bookmarkStart w:id="19" w:name="_Toc19200"/>
      <w:r>
        <w:t>5.1 系统部署方案</w:t>
      </w:r>
      <w:bookmarkEnd w:id="19"/>
    </w:p>
    <w:p w14:paraId="48823555">
      <w:r>
        <w:t>云端部署：适用于多医院协作与数据集中存储；</w:t>
      </w:r>
      <w:r>
        <w:br w:type="textWrapping"/>
      </w:r>
      <w:r>
        <w:t>本地部署：适合单院内网应用，强化隐私保护；</w:t>
      </w:r>
      <w:r>
        <w:br w:type="textWrapping"/>
      </w:r>
      <w:r>
        <w:t>容器化部署：支持自动扩展与快速维护。</w:t>
      </w:r>
    </w:p>
    <w:p w14:paraId="05529C3C">
      <w:pPr>
        <w:pStyle w:val="4"/>
      </w:pPr>
      <w:bookmarkStart w:id="20" w:name="_Toc14605"/>
      <w:r>
        <w:t>5.2 数据库与安全设计</w:t>
      </w:r>
      <w:bookmarkEnd w:id="20"/>
    </w:p>
    <w:p w14:paraId="690C2DD1">
      <w:r>
        <w:t>采用MySQL数据库存储患者信息与模型参数。所有敏感数据经AES加密，并定期进行备份。系统记录用户操作日志，确保可追溯性与合规性。</w:t>
      </w:r>
    </w:p>
    <w:p w14:paraId="4F54561B">
      <w:pPr>
        <w:pStyle w:val="4"/>
      </w:pPr>
      <w:bookmarkStart w:id="21" w:name="_Toc8504"/>
      <w:r>
        <w:t>5.3 性能优化与监控</w:t>
      </w:r>
      <w:bookmarkEnd w:id="21"/>
    </w:p>
    <w:p w14:paraId="018FC79C">
      <w:r>
        <w:t>系统采用多线程并发与缓存优化策略。监控模块实时追踪接口响应时间、错误率与GPU使用率，确保运行稳定。</w:t>
      </w:r>
    </w:p>
    <w:p w14:paraId="2BBE02F9">
      <w:pPr>
        <w:pStyle w:val="3"/>
      </w:pPr>
      <w:bookmarkStart w:id="22" w:name="_Toc19956"/>
      <w:r>
        <w:t>第六章 后续优化与维护计划</w:t>
      </w:r>
      <w:bookmarkEnd w:id="22"/>
    </w:p>
    <w:p w14:paraId="6A7DD503">
      <w:r>
        <w:t>系统将在未来持续优化以下方向：</w:t>
      </w:r>
      <w:r>
        <w:br w:type="textWrapping"/>
      </w:r>
      <w:r>
        <w:t>1. 算法性能与可解释性改进，融入深度学习模块；</w:t>
      </w:r>
      <w:r>
        <w:br w:type="textWrapping"/>
      </w:r>
      <w:r>
        <w:t>2. 增强用户交互体验，支持多语言与跨终端操作；</w:t>
      </w:r>
      <w:r>
        <w:br w:type="textWrapping"/>
      </w:r>
      <w:r>
        <w:t>3. 构建标准化医学数据接口，实现医院系统互联；</w:t>
      </w:r>
      <w:r>
        <w:br w:type="textWrapping"/>
      </w:r>
      <w:r>
        <w:t>4. 推进临床验证与多中心合作研究，实现大规模推广。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96CEC"/>
    <w:rsid w:val="479411B4"/>
    <w:rsid w:val="4D64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3307</Words>
  <Characters>3865</Characters>
  <Lines>0</Lines>
  <Paragraphs>0</Paragraphs>
  <TotalTime>7</TotalTime>
  <ScaleCrop>false</ScaleCrop>
  <LinksUpToDate>false</LinksUpToDate>
  <CharactersWithSpaces>4009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Theon</cp:lastModifiedBy>
  <dcterms:modified xsi:type="dcterms:W3CDTF">2025-10-14T11:20:22Z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eyJoZGlkIjoiODYwMWMwYmYyYTNkMzNmZTVjMzk2M2UwNDRlOGE0YTgiLCJ1c2VySWQiOiIyNTU3MTE3In0=</vt:lpwstr>
  </property>
  <property fmtid="{D5CDD505-2E9C-101B-9397-08002B2CF9AE}" pid="3" name="KSOProductBuildVer">
    <vt:lpwstr>2052-12.1.0.22529</vt:lpwstr>
  </property>
  <property fmtid="{D5CDD505-2E9C-101B-9397-08002B2CF9AE}" pid="4" name="ICV">
    <vt:lpwstr>620A9FAF03A444039CD33237EE016BA9_12</vt:lpwstr>
  </property>
</Properties>
</file>