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77135"/>
            <wp:effectExtent l="0" t="0" r="12700" b="12065"/>
            <wp:docPr id="4" name="Picture 4" descr="WeChat3301d2d2d10221af6d680d9c6707c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Chat3301d2d2d10221af6d680d9c6707ce1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descending precedence</w:t>
      </w:r>
    </w:p>
    <w:p>
      <w:r>
        <w:drawing>
          <wp:inline distT="0" distB="0" distL="114300" distR="114300">
            <wp:extent cx="5269865" cy="6064885"/>
            <wp:effectExtent l="0" t="0" r="133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5275" cy="2790825"/>
            <wp:effectExtent l="0" t="0" r="952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3505"/>
        <w:gridCol w:w="3521"/>
      </w:tblGrid>
      <w:tr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60" w:type="dxa"/>
              <w:bottom w:w="200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Aspect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</w:t>
            </w:r>
          </w:p>
        </w:tc>
      </w:tr>
      <w:tr>
        <w:trPr>
          <w:trHeight w:val="837" w:hRule="atLeast"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Definition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are functions defined with the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 keyword.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preprocessor directives defined using.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#define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.</w:t>
            </w:r>
          </w:p>
        </w:tc>
      </w:tr>
      <w:tr>
        <w:trPr>
          <w:trHeight w:val="90" w:hRule="atLeast"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Scope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have scope and type checking, like regular functions.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have no scope or type checking. They are replaced by the preprocessor.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Evaluation of Arguments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Arguments are evaluated once.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Arguments may be evaluated multiple times (e.g., in expressions).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Handling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are handled by the compiler.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handled by the preprocessor.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Private Members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Can access private members of a class.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  <w:vertAlign w:val="baseline"/>
              </w:rPr>
              <w:t>Cannot access private members of a class.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Execution Overhead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Compiler may ignore the 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 request if the function is too large.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are always substituted into code.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66" w:type="dxa"/>
              <w:left w:w="60" w:type="dxa"/>
              <w:bottom w:w="166" w:type="dxa"/>
              <w:right w:w="6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Recursion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Inline functions can call themselves recursively.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sz w:val="20"/>
                <w:szCs w:val="20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3"/>
                <w:kern w:val="0"/>
                <w:sz w:val="20"/>
                <w:szCs w:val="20"/>
                <w:vertAlign w:val="baseline"/>
                <w:lang w:val="en-US" w:eastAsia="zh-CN" w:bidi="ar"/>
              </w:rPr>
              <w:t>Macros cannot be recursive.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sz w:val="20"/>
          <w:szCs w:val="20"/>
        </w:rPr>
      </w:pP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3444"/>
        <w:gridCol w:w="3790"/>
      </w:tblGrid>
      <w:tr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60" w:type="dxa"/>
              <w:bottom w:w="200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Aspect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Pointer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Reference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Initialization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pointer can be initialized after declaration.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reference must be initialized at the time of declaration.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Nullability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pointer can be assigned NULL or nullptr.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reference cannot be null, it must always refer to a valid object.</w:t>
            </w:r>
          </w:p>
        </w:tc>
      </w:tr>
      <w:t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96" w:type="dxa"/>
              <w:left w:w="60" w:type="dxa"/>
              <w:bottom w:w="196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Reassignment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pointer can be reassigned to point to different objects.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80" w:type="dxa"/>
              <w:left w:w="200" w:type="dxa"/>
              <w:bottom w:w="280" w:type="dxa"/>
              <w:right w:w="200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center"/>
              <w:textAlignment w:val="baseline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273239"/>
                <w:spacing w:val="3"/>
                <w:sz w:val="18"/>
                <w:szCs w:val="18"/>
                <w:bdr w:val="none" w:color="auto" w:sz="0" w:space="0"/>
                <w:vertAlign w:val="baseline"/>
              </w:rPr>
              <w:t>A reference cannot be reassigned once it is bound to an object.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38C7"/>
    <w:rsid w:val="75FBDF94"/>
    <w:rsid w:val="DFFF38C7"/>
    <w:rsid w:val="FAFFFB14"/>
    <w:rsid w:val="FD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2025-09-06T08:32:00Z</dcterms:created>
  <dc:creator>王玉</dc:creator>
  <cp:lastModifiedBy>王玉</cp:lastModifiedBy>
  <dcterms:modified xsi:type="dcterms:W3CDTF">2025-10-03T04:37:37Z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6DF14E9A7D6E59D9EAFCBC6800D25427_41</vt:lpwstr>
  </property>
</Properties>
</file>