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77135"/>
            <wp:effectExtent l="0" t="0" r="12700" b="12065"/>
            <wp:docPr id="4" name="Picture 4" descr="WeChat3301d2d2d10221af6d680d9c6707c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Chat3301d2d2d10221af6d680d9c6707ce1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descending precedence</w:t>
      </w:r>
    </w:p>
    <w:p>
      <w:r>
        <w:drawing>
          <wp:inline distT="0" distB="0" distL="114300" distR="114300">
            <wp:extent cx="5269865" cy="6064885"/>
            <wp:effectExtent l="0" t="0" r="133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5275" cy="2790825"/>
            <wp:effectExtent l="0" t="0" r="952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Inline Functions vs Macros</w:t>
      </w:r>
    </w:p>
    <w:tbl>
      <w:tblPr>
        <w:tblStyle w:val="3"/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3505"/>
        <w:gridCol w:w="3521"/>
      </w:tblGrid>
      <w:tr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60" w:type="dxa"/>
              <w:bottom w:w="200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Aspect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</w:t>
            </w:r>
          </w:p>
        </w:tc>
      </w:tr>
      <w:tr>
        <w:trPr>
          <w:trHeight w:val="837" w:hRule="atLeast"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Definition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are functions defined with the 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 keyword.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are preprocessor directives defined using. 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#define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.</w:t>
            </w:r>
          </w:p>
        </w:tc>
      </w:tr>
      <w:tr>
        <w:trPr>
          <w:trHeight w:val="90" w:hRule="atLeast"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Scope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have scope and type checking, like regular functions.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have no scope or type checking. They are replaced by the preprocessor.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Evaluation of Arguments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Arguments are evaluated once.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Arguments may be evaluated multiple times (e.g., in expressions).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Handling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are handled by the compiler.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are handled by the preprocessor.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  <w:vertAlign w:val="baseline"/>
              </w:rPr>
              <w:t>Private Members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  <w:vertAlign w:val="baseline"/>
              </w:rPr>
              <w:t>Can access private members of a class.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  <w:vertAlign w:val="baseline"/>
              </w:rPr>
              <w:t>Cannot access private members of a class.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bookmarkStart w:id="0" w:name="_GoBack"/>
            <w:bookmarkEnd w:id="0"/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Execution Overhead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Compiler may ignore the 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 request if the function is too large.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are always substituted into code.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Recursion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can call themselves recursively.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cannot be recursive.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0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Pointer vs Reference</w:t>
      </w:r>
    </w:p>
    <w:tbl>
      <w:tblPr>
        <w:tblStyle w:val="3"/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3444"/>
        <w:gridCol w:w="3790"/>
      </w:tblGrid>
      <w:tr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60" w:type="dxa"/>
              <w:bottom w:w="200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Aspect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Pointer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Reference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96" w:type="dxa"/>
              <w:left w:w="60" w:type="dxa"/>
              <w:bottom w:w="19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Initialization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 pointer can be initialized after declaration.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 reference must be initialized at the time of declaration.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96" w:type="dxa"/>
              <w:left w:w="60" w:type="dxa"/>
              <w:bottom w:w="19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Nullability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 pointer can be assigned NULL or nullptr.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 reference cannot be null, it must always refer to a valid object.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96" w:type="dxa"/>
              <w:left w:w="60" w:type="dxa"/>
              <w:bottom w:w="19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Reassignment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 pointer can be reassigned to point to different objects.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A reference cannot be reassigned once it is bound to an object.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b w:val="0"/>
          <w:bCs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Pointer vs Smart Pointer</w:t>
      </w:r>
    </w:p>
    <w:tbl>
      <w:tblPr>
        <w:tblStyle w:val="3"/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0"/>
        <w:gridCol w:w="3406"/>
      </w:tblGrid>
      <w:tr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60" w:type="dxa"/>
              <w:bottom w:w="200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Style w:val="6"/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Pointer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vertAlign w:val="baseline"/>
              </w:rPr>
              <w:t>Smart Pointer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A pointer is a variable that maintains a memory address as well as data type information about that memory location. A pointer is a variable that points to something in memory.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Smart pointers, in simple words, are classes that wrap a pointer, or scoped pointers.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It is not destroyed in any form when it goes out of its scope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It destroys itself when it goes out of its scope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Pointers are not so efficient as they don't support any other feature. 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Smart pointers are more efficient as they have an additional feature of memory management. 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They are very labor-centric/manual.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18"/>
                <w:szCs w:val="18"/>
                <w:vertAlign w:val="baseline"/>
                <w:lang w:val="en-US" w:eastAsia="zh-CN" w:bidi="ar"/>
              </w:rPr>
              <w:t>They are automatic/pre-programmed in nature.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38C7"/>
    <w:rsid w:val="75FBDF94"/>
    <w:rsid w:val="7FDF179B"/>
    <w:rsid w:val="DFFF38C7"/>
    <w:rsid w:val="FAFFFB14"/>
    <w:rsid w:val="FDF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2025-09-05T22:32:00Z</dcterms:created>
  <dc:creator>王玉</dc:creator>
  <cp:lastModifiedBy>王玉</cp:lastModifiedBy>
  <dcterms:modified xsi:type="dcterms:W3CDTF">2025-10-23T17:46:50Z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6DF14E9A7D6E59D9EAFCBC6800D25427_41</vt:lpwstr>
  </property>
</Properties>
</file>