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40"/>
      </w:pPr>
      <w:r>
        <w:rPr>
          <w:rFonts w:ascii="Segoe UI" w:hAnsi="Segoe UI"/>
          <w:b/>
          <w:sz w:val="24"/>
        </w:rPr>
        <w:t>NEFU-CHINA</w:t>
      </w:r>
    </w:p>
    <w:p>
      <w:pPr>
        <w:pStyle w:val="Title"/>
      </w:pPr>
      <w:r>
        <w:rPr>
          <w:rFonts w:ascii="Segoe UI" w:hAnsi="Segoe UI"/>
        </w:rPr>
        <w:t>Open Microfluidic</w:t>
        <w:br/>
        <w:t>Platform</w:t>
      </w:r>
    </w:p>
    <w:p>
      <w:pPr>
        <w:pStyle w:val="Subtitle"/>
        <w:spacing w:after="480"/>
      </w:pPr>
      <w:r>
        <w:rPr>
          <w:rFonts w:ascii="Segoe UI" w:hAnsi="Segoe UI"/>
        </w:rPr>
        <w:t>Microfluidic Platform Build Guide</w:t>
      </w:r>
    </w:p>
    <w:p>
      <w:r>
        <w:rPr>
          <w:rFonts w:ascii="Segoe UI" w:hAnsi="Segoe UI"/>
        </w:rPr>
        <w:t>Total Control V7.0 PERF</w:t>
      </w:r>
    </w:p>
    <w:p>
      <w:pPr>
        <w:keepNext/>
        <w:spacing w:after="60"/>
        <w:jc w:val="center"/>
      </w:pPr>
      <w:r>
        <w:drawing>
          <wp:inline xmlns:a="http://schemas.openxmlformats.org/drawingml/2006/main" xmlns:pic="http://schemas.openxmlformats.org/drawingml/2006/picture">
            <wp:extent cx="5486400" cy="4099727"/>
            <wp:docPr id="1" name="Picture 1" descr="Microfluidic droplet observation from the optical-bench reference video."/>
            <wp:cNvGraphicFramePr>
              <a:graphicFrameLocks noChangeAspect="1"/>
            </wp:cNvGraphicFramePr>
            <a:graphic>
              <a:graphicData uri="http://schemas.openxmlformats.org/drawingml/2006/picture">
                <pic:pic>
                  <pic:nvPicPr>
                    <pic:cNvPr id="0" name="microfluidic_preview.png"/>
                    <pic:cNvPicPr/>
                  </pic:nvPicPr>
                  <pic:blipFill>
                    <a:blip r:embed="rId11"/>
                    <a:stretch>
                      <a:fillRect/>
                    </a:stretch>
                  </pic:blipFill>
                  <pic:spPr>
                    <a:xfrm>
                      <a:off x="0" y="0"/>
                      <a:ext cx="5486400" cy="4099727"/>
                    </a:xfrm>
                    <a:prstGeom prst="rect"/>
                  </pic:spPr>
                </pic:pic>
              </a:graphicData>
            </a:graphic>
          </wp:inline>
        </w:drawing>
      </w:r>
    </w:p>
    <w:p>
      <w:pPr>
        <w:pStyle w:val="Caption"/>
        <w:spacing w:after="240"/>
      </w:pPr>
      <w:r>
        <w:rPr>
          <w:rFonts w:ascii="Segoe UI" w:hAnsi="Segoe UI"/>
        </w:rPr>
        <w:t>Microfluidic droplet observation from the optical-bench reference video.</w:t>
      </w:r>
    </w:p>
    <w:p>
      <w:pPr>
        <w:spacing w:before="240"/>
      </w:pPr>
      <w:r>
        <w:rPr>
          <w:rFonts w:ascii="Segoe UI" w:hAnsi="Segoe UI"/>
          <w:b/>
          <w:sz w:val="18"/>
        </w:rPr>
        <w:t>EDITION 0.8.2     /     SEPTEMBER 2026</w:t>
      </w:r>
    </w:p>
    <w:p>
      <w:r>
        <w:rPr>
          <w:rFonts w:ascii="Segoe UI" w:hAnsi="Segoe UI"/>
        </w:rPr>
        <w:t>NEFU-China iDEC Experimental Group</w:t>
        <w:br/>
        <w:t>Northeast Forestry University</w:t>
      </w:r>
    </w:p>
    <w:p>
      <w:pPr>
        <w:pageBreakBefore/>
        <w:spacing w:after="100"/>
      </w:pPr>
      <w:r>
        <w:rPr>
          <w:rFonts w:ascii="Segoe UI" w:hAnsi="Segoe UI"/>
          <w:b/>
          <w:sz w:val="18"/>
        </w:rPr>
        <w:t>START HERE</w:t>
      </w:r>
    </w:p>
    <w:p>
      <w:pPr>
        <w:pStyle w:val="Heading1"/>
      </w:pPr>
      <w:r>
        <w:rPr>
          <w:rFonts w:ascii="Segoe UI" w:hAnsi="Segoe UI"/>
        </w:rPr>
        <w:t>01 Build the platform</w:t>
      </w:r>
    </w:p>
    <w:p>
      <w:r>
        <w:rPr>
          <w:rFonts w:ascii="Segoe UI" w:hAnsi="Segoe UI"/>
        </w:rPr>
        <w:t>This guide takes a new builder from component selection to operating the NEFU-China microfluidic platform. Assemble the fluidic and optical paths, connect the instrument chain, install Total Control V7.0 PERF and bring each module online before enabling the DEP drive.</w:t>
      </w:r>
    </w:p>
    <w:p>
      <w:pPr>
        <w:keepNext/>
        <w:spacing w:after="60"/>
        <w:jc w:val="center"/>
      </w:pPr>
      <w:r>
        <w:drawing>
          <wp:inline xmlns:a="http://schemas.openxmlformats.org/drawingml/2006/main" xmlns:pic="http://schemas.openxmlformats.org/drawingml/2006/picture">
            <wp:extent cx="5943600" cy="3529012"/>
            <wp:docPr id="2" name="Picture 2" descr="Platform architecture. The camera observes the channel in parallel with fluorescence detection and gate control."/>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943600" cy="3529012"/>
                    </a:xfrm>
                    <a:prstGeom prst="rect"/>
                  </pic:spPr>
                </pic:pic>
              </a:graphicData>
            </a:graphic>
          </wp:inline>
        </w:drawing>
      </w:r>
    </w:p>
    <w:p>
      <w:pPr>
        <w:pStyle w:val="Caption"/>
        <w:spacing w:after="240"/>
      </w:pPr>
      <w:r>
        <w:rPr>
          <w:rFonts w:ascii="Segoe UI" w:hAnsi="Segoe UI"/>
        </w:rPr>
        <w:t>Platform architecture. The camera observes the channel in parallel with fluorescence detection and gate control.</w:t>
      </w:r>
    </w:p>
    <w:p>
      <w:pPr>
        <w:pStyle w:val="Heading2"/>
      </w:pPr>
      <w:r>
        <w:rPr>
          <w:rFonts w:ascii="Segoe UI" w:hAnsi="Segoe UI"/>
        </w:rPr>
        <w:t>Assembly order</w:t>
      </w:r>
    </w:p>
    <w:p>
      <w:pPr>
        <w:ind w:left="360" w:hanging="360"/>
      </w:pPr>
      <w:r>
        <w:rPr>
          <w:rFonts w:ascii="Segoe UI" w:hAnsi="Segoe UI"/>
          <w:b/>
        </w:rPr>
        <w:t xml:space="preserve">1. </w:t>
      </w:r>
      <w:r>
        <w:rPr>
          <w:rFonts w:ascii="Segoe UI" w:hAnsi="Segoe UI"/>
        </w:rPr>
        <w:t>Select components and arrange the bench using sections 02 to 04.</w:t>
      </w:r>
    </w:p>
    <w:p>
      <w:pPr>
        <w:ind w:left="360" w:hanging="360"/>
      </w:pPr>
      <w:r>
        <w:rPr>
          <w:rFonts w:ascii="Segoe UI" w:hAnsi="Segoe UI"/>
          <w:b/>
        </w:rPr>
        <w:t xml:space="preserve">2. </w:t>
      </w:r>
      <w:r>
        <w:rPr>
          <w:rFonts w:ascii="Segoe UI" w:hAnsi="Segoe UI"/>
        </w:rPr>
        <w:t>Assemble the optical path and low-voltage connections using sections 05 and 06. Keep excitation and the high-voltage drive disabled.</w:t>
      </w:r>
    </w:p>
    <w:p>
      <w:pPr>
        <w:ind w:left="360" w:hanging="360"/>
      </w:pPr>
      <w:r>
        <w:rPr>
          <w:rFonts w:ascii="Segoe UI" w:hAnsi="Segoe UI"/>
          <w:b/>
        </w:rPr>
        <w:t xml:space="preserve">3. </w:t>
      </w:r>
      <w:r>
        <w:rPr>
          <w:rFonts w:ascii="Segoe UI" w:hAnsi="Segoe UI"/>
        </w:rPr>
        <w:t>Install the Windows and PYNQ software using sections 07 and 08.</w:t>
      </w:r>
    </w:p>
    <w:p>
      <w:pPr>
        <w:ind w:left="360" w:hanging="360"/>
      </w:pPr>
      <w:r>
        <w:rPr>
          <w:rFonts w:ascii="Segoe UI" w:hAnsi="Segoe UI"/>
          <w:b/>
        </w:rPr>
        <w:t xml:space="preserve">4. </w:t>
      </w:r>
      <w:r>
        <w:rPr>
          <w:rFonts w:ascii="Segoe UI" w:hAnsi="Segoe UI"/>
        </w:rPr>
        <w:t>Connect one module at a time, then check the gate and DEP drive using sections 09 and 10.</w:t>
      </w:r>
    </w:p>
    <w:p>
      <w:pPr>
        <w:ind w:left="360" w:hanging="360"/>
      </w:pPr>
      <w:r>
        <w:rPr>
          <w:rFonts w:ascii="Segoe UI" w:hAnsi="Segoe UI"/>
          <w:b/>
        </w:rPr>
        <w:t xml:space="preserve">5. </w:t>
      </w:r>
      <w:r>
        <w:rPr>
          <w:rFonts w:ascii="Segoe UI" w:hAnsi="Segoe UI"/>
        </w:rPr>
        <w:t>Operate from the V7 workspace using sections 11 and 12. Use sections 13 and 14 for fault recovery and shutdown.</w:t>
      </w:r>
    </w:p>
    <w:p>
      <w:r>
        <w:rPr>
          <w:rFonts w:ascii="Segoe UI" w:hAnsi="Segoe UI"/>
        </w:rPr>
        <w:t>Use Hardware/BOM.xlsx to select components and Hardware/Device_Specs.md for equipment limits. Hardware/Wiring_Diagram.md provides the connection reference. Component ratings and connector orientation must match the installed instruments.</w:t>
      </w:r>
    </w:p>
    <w:p>
      <w:pPr>
        <w:pageBreakBefore/>
        <w:spacing w:after="100"/>
      </w:pPr>
      <w:r>
        <w:rPr>
          <w:rFonts w:ascii="Segoe UI" w:hAnsi="Segoe UI"/>
          <w:b/>
          <w:sz w:val="18"/>
        </w:rPr>
        <w:t>PREPARE</w:t>
      </w:r>
    </w:p>
    <w:p>
      <w:pPr>
        <w:pStyle w:val="Heading1"/>
      </w:pPr>
      <w:r>
        <w:rPr>
          <w:rFonts w:ascii="Segoe UI" w:hAnsi="Segoe UI"/>
        </w:rPr>
        <w:t>02 Parts and tools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00"/>
        <w:gridCol w:w="3888"/>
        <w:gridCol w:w="4104"/>
      </w:tblGrid>
      <w:tr>
        <w:trPr>
          <w:tblHeader/>
          <w:cantSplit/>
        </w:trPr>
        <w:tc>
          <w:tcPr>
            <w:tcW w:type="dxa" w:w="1800"/>
            <w:vAlign w:val="center"/>
            <w:shd w:fill="263238"/>
          </w:tcPr>
          <w:p>
            <w:pPr>
              <w:spacing w:after="0" w:line="269" w:lineRule="auto"/>
            </w:pPr>
            <w:r>
              <w:rPr>
                <w:rFonts w:ascii="Segoe UI" w:hAnsi="Segoe UI"/>
                <w:b/>
                <w:color w:val="FFFFFF"/>
                <w:sz w:val="19"/>
              </w:rPr>
              <w:t>Assembly</w:t>
            </w:r>
          </w:p>
        </w:tc>
        <w:tc>
          <w:tcPr>
            <w:tcW w:type="dxa" w:w="3888"/>
            <w:vAlign w:val="center"/>
            <w:shd w:fill="263238"/>
          </w:tcPr>
          <w:p>
            <w:pPr>
              <w:spacing w:after="0" w:line="269" w:lineRule="auto"/>
            </w:pPr>
            <w:r>
              <w:rPr>
                <w:rFonts w:ascii="Segoe UI" w:hAnsi="Segoe UI"/>
                <w:b/>
                <w:color w:val="FFFFFF"/>
                <w:sz w:val="19"/>
              </w:rPr>
              <w:t>Prepare</w:t>
            </w:r>
          </w:p>
        </w:tc>
        <w:tc>
          <w:tcPr>
            <w:tcW w:type="dxa" w:w="4104"/>
            <w:vAlign w:val="center"/>
            <w:shd w:fill="263238"/>
          </w:tcPr>
          <w:p>
            <w:pPr>
              <w:spacing w:after="0" w:line="269" w:lineRule="auto"/>
            </w:pPr>
            <w:r>
              <w:rPr>
                <w:rFonts w:ascii="Segoe UI" w:hAnsi="Segoe UI"/>
                <w:b/>
                <w:color w:val="FFFFFF"/>
                <w:sz w:val="19"/>
              </w:rPr>
              <w:t>Check before assembly</w:t>
            </w:r>
          </w:p>
        </w:tc>
      </w:tr>
      <w:tr>
        <w:trPr>
          <w:cantSplit/>
        </w:trPr>
        <w:tc>
          <w:tcPr>
            <w:tcW w:type="dxa" w:w="1800"/>
            <w:vAlign w:val="center"/>
            <w:shd w:fill="F3F6F6"/>
          </w:tcPr>
          <w:p>
            <w:pPr>
              <w:spacing w:after="0" w:line="269" w:lineRule="auto"/>
            </w:pPr>
            <w:r>
              <w:rPr>
                <w:rFonts w:ascii="Segoe UI" w:hAnsi="Segoe UI"/>
                <w:b w:val="0"/>
                <w:color w:val="000000"/>
                <w:sz w:val="19"/>
              </w:rPr>
              <w:t>Fluid delivery</w:t>
            </w:r>
          </w:p>
        </w:tc>
        <w:tc>
          <w:tcPr>
            <w:tcW w:type="dxa" w:w="3888"/>
            <w:vAlign w:val="center"/>
            <w:shd w:fill="F3F6F6"/>
          </w:tcPr>
          <w:p>
            <w:pPr>
              <w:spacing w:after="0" w:line="269" w:lineRule="auto"/>
            </w:pPr>
            <w:r>
              <w:rPr>
                <w:rFonts w:ascii="Segoe UI" w:hAnsi="Segoe UI"/>
                <w:b w:val="0"/>
                <w:color w:val="000000"/>
                <w:sz w:val="19"/>
              </w:rPr>
              <w:t>LSP02-3B; syringes; Tygon and PEEK tubing; capillary adapters; collection tubes</w:t>
            </w:r>
          </w:p>
        </w:tc>
        <w:tc>
          <w:tcPr>
            <w:tcW w:type="dxa" w:w="4104"/>
            <w:vAlign w:val="center"/>
            <w:shd w:fill="F3F6F6"/>
          </w:tcPr>
          <w:p>
            <w:pPr>
              <w:spacing w:after="0" w:line="269" w:lineRule="auto"/>
            </w:pPr>
            <w:r>
              <w:rPr>
                <w:rFonts w:ascii="Segoe UI" w:hAnsi="Segoe UI"/>
                <w:b w:val="0"/>
                <w:color w:val="000000"/>
                <w:sz w:val="19"/>
              </w:rPr>
              <w:t>Syringe dimensions, chip port fit and fluid compatibility</w:t>
            </w:r>
          </w:p>
        </w:tc>
      </w:tr>
      <w:tr>
        <w:trPr>
          <w:cantSplit/>
        </w:trPr>
        <w:tc>
          <w:tcPr>
            <w:tcW w:type="dxa" w:w="1800"/>
            <w:vAlign w:val="center"/>
            <w:shd w:fill="FFFFFF"/>
          </w:tcPr>
          <w:p>
            <w:pPr>
              <w:spacing w:after="0" w:line="269" w:lineRule="auto"/>
            </w:pPr>
            <w:r>
              <w:rPr>
                <w:rFonts w:ascii="Segoe UI" w:hAnsi="Segoe UI"/>
                <w:b w:val="0"/>
                <w:color w:val="000000"/>
                <w:sz w:val="19"/>
              </w:rPr>
              <w:t>Chip and mount</w:t>
            </w:r>
          </w:p>
        </w:tc>
        <w:tc>
          <w:tcPr>
            <w:tcW w:type="dxa" w:w="3888"/>
            <w:vAlign w:val="center"/>
            <w:shd w:fill="FFFFFF"/>
          </w:tcPr>
          <w:p>
            <w:pPr>
              <w:spacing w:after="0" w:line="269" w:lineRule="auto"/>
            </w:pPr>
            <w:r>
              <w:rPr>
                <w:rFonts w:ascii="Segoe UI" w:hAnsi="Segoe UI"/>
                <w:b w:val="0"/>
                <w:color w:val="000000"/>
                <w:sz w:val="19"/>
              </w:rPr>
              <w:t>Generation and sorting chips; chip holder; optical base and cage hardware</w:t>
            </w:r>
          </w:p>
        </w:tc>
        <w:tc>
          <w:tcPr>
            <w:tcW w:type="dxa" w:w="4104"/>
            <w:vAlign w:val="center"/>
            <w:shd w:fill="FFFFFF"/>
          </w:tcPr>
          <w:p>
            <w:pPr>
              <w:spacing w:after="0" w:line="269" w:lineRule="auto"/>
            </w:pPr>
            <w:r>
              <w:rPr>
                <w:rFonts w:ascii="Segoe UI" w:hAnsi="Segoe UI"/>
                <w:b w:val="0"/>
                <w:color w:val="000000"/>
                <w:sz w:val="19"/>
              </w:rPr>
              <w:t>Accessible inlets, outlets, detection region and electrodes</w:t>
            </w:r>
          </w:p>
        </w:tc>
      </w:tr>
      <w:tr>
        <w:trPr>
          <w:cantSplit/>
        </w:trPr>
        <w:tc>
          <w:tcPr>
            <w:tcW w:type="dxa" w:w="1800"/>
            <w:vAlign w:val="center"/>
            <w:shd w:fill="F3F6F6"/>
          </w:tcPr>
          <w:p>
            <w:pPr>
              <w:spacing w:after="0" w:line="269" w:lineRule="auto"/>
            </w:pPr>
            <w:r>
              <w:rPr>
                <w:rFonts w:ascii="Segoe UI" w:hAnsi="Segoe UI"/>
                <w:b w:val="0"/>
                <w:color w:val="000000"/>
                <w:sz w:val="19"/>
              </w:rPr>
              <w:t>Optics</w:t>
            </w:r>
          </w:p>
        </w:tc>
        <w:tc>
          <w:tcPr>
            <w:tcW w:type="dxa" w:w="3888"/>
            <w:vAlign w:val="center"/>
            <w:shd w:fill="F3F6F6"/>
          </w:tcPr>
          <w:p>
            <w:pPr>
              <w:spacing w:after="0" w:line="269" w:lineRule="auto"/>
            </w:pPr>
            <w:r>
              <w:rPr>
                <w:rFonts w:ascii="Segoe UI" w:hAnsi="Segoe UI"/>
                <w:b w:val="0"/>
                <w:color w:val="000000"/>
                <w:sz w:val="19"/>
              </w:rPr>
              <w:t>Excitation source; objective; dichroic; emission filters; observation LED; shielding</w:t>
            </w:r>
          </w:p>
        </w:tc>
        <w:tc>
          <w:tcPr>
            <w:tcW w:type="dxa" w:w="4104"/>
            <w:vAlign w:val="center"/>
            <w:shd w:fill="F3F6F6"/>
          </w:tcPr>
          <w:p>
            <w:pPr>
              <w:spacing w:after="0" w:line="269" w:lineRule="auto"/>
            </w:pPr>
            <w:r>
              <w:rPr>
                <w:rFonts w:ascii="Segoe UI" w:hAnsi="Segoe UI"/>
                <w:b w:val="0"/>
                <w:color w:val="000000"/>
                <w:sz w:val="19"/>
              </w:rPr>
              <w:t>Matched excitation and emission bands; clear apertures</w:t>
            </w:r>
          </w:p>
        </w:tc>
      </w:tr>
      <w:tr>
        <w:trPr>
          <w:cantSplit/>
        </w:trPr>
        <w:tc>
          <w:tcPr>
            <w:tcW w:type="dxa" w:w="1800"/>
            <w:vAlign w:val="center"/>
            <w:shd w:fill="FFFFFF"/>
          </w:tcPr>
          <w:p>
            <w:pPr>
              <w:spacing w:after="0" w:line="269" w:lineRule="auto"/>
            </w:pPr>
            <w:r>
              <w:rPr>
                <w:rFonts w:ascii="Segoe UI" w:hAnsi="Segoe UI"/>
                <w:b w:val="0"/>
                <w:color w:val="000000"/>
                <w:sz w:val="19"/>
              </w:rPr>
              <w:t>Detection</w:t>
            </w:r>
          </w:p>
        </w:tc>
        <w:tc>
          <w:tcPr>
            <w:tcW w:type="dxa" w:w="3888"/>
            <w:vAlign w:val="center"/>
            <w:shd w:fill="FFFFFF"/>
          </w:tcPr>
          <w:p>
            <w:pPr>
              <w:spacing w:after="0" w:line="269" w:lineRule="auto"/>
            </w:pPr>
            <w:r>
              <w:rPr>
                <w:rFonts w:ascii="Segoe UI" w:hAnsi="Segoe UI"/>
                <w:b w:val="0"/>
                <w:color w:val="000000"/>
                <w:sz w:val="19"/>
              </w:rPr>
              <w:t>H10682; CH297; coaxial signal lead; supplier power and USB cables</w:t>
            </w:r>
          </w:p>
        </w:tc>
        <w:tc>
          <w:tcPr>
            <w:tcW w:type="dxa" w:w="4104"/>
            <w:vAlign w:val="center"/>
            <w:shd w:fill="FFFFFF"/>
          </w:tcPr>
          <w:p>
            <w:pPr>
              <w:spacing w:after="0" w:line="269" w:lineRule="auto"/>
            </w:pPr>
            <w:r>
              <w:rPr>
                <w:rFonts w:ascii="Segoe UI" w:hAnsi="Segoe UI"/>
                <w:b w:val="0"/>
                <w:color w:val="000000"/>
                <w:sz w:val="19"/>
              </w:rPr>
              <w:t>PMT model suffix and matching calibration file</w:t>
            </w:r>
          </w:p>
        </w:tc>
      </w:tr>
      <w:tr>
        <w:trPr>
          <w:cantSplit/>
        </w:trPr>
        <w:tc>
          <w:tcPr>
            <w:tcW w:type="dxa" w:w="1800"/>
            <w:vAlign w:val="center"/>
            <w:shd w:fill="F3F6F6"/>
          </w:tcPr>
          <w:p>
            <w:pPr>
              <w:spacing w:after="0" w:line="269" w:lineRule="auto"/>
            </w:pPr>
            <w:r>
              <w:rPr>
                <w:rFonts w:ascii="Segoe UI" w:hAnsi="Segoe UI"/>
                <w:b w:val="0"/>
                <w:color w:val="000000"/>
                <w:sz w:val="19"/>
              </w:rPr>
              <w:t>Imaging</w:t>
            </w:r>
          </w:p>
        </w:tc>
        <w:tc>
          <w:tcPr>
            <w:tcW w:type="dxa" w:w="3888"/>
            <w:vAlign w:val="center"/>
            <w:shd w:fill="F3F6F6"/>
          </w:tcPr>
          <w:p>
            <w:pPr>
              <w:spacing w:after="0" w:line="269" w:lineRule="auto"/>
            </w:pPr>
            <w:r>
              <w:rPr>
                <w:rFonts w:ascii="Segoe UI" w:hAnsi="Segoe UI"/>
                <w:b w:val="0"/>
                <w:color w:val="000000"/>
                <w:sz w:val="19"/>
              </w:rPr>
              <w:t>MUS40M-G; USB; OsCam driver and complete x64 SDK</w:t>
            </w:r>
          </w:p>
        </w:tc>
        <w:tc>
          <w:tcPr>
            <w:tcW w:type="dxa" w:w="4104"/>
            <w:vAlign w:val="center"/>
            <w:shd w:fill="F3F6F6"/>
          </w:tcPr>
          <w:p>
            <w:pPr>
              <w:spacing w:after="0" w:line="269" w:lineRule="auto"/>
            </w:pPr>
            <w:r>
              <w:rPr>
                <w:rFonts w:ascii="Segoe UI" w:hAnsi="Segoe UI"/>
                <w:b w:val="0"/>
                <w:color w:val="000000"/>
                <w:sz w:val="19"/>
              </w:rPr>
              <w:t>Camera recognized by the supplier software</w:t>
            </w:r>
          </w:p>
        </w:tc>
      </w:tr>
      <w:tr>
        <w:trPr>
          <w:cantSplit/>
        </w:trPr>
        <w:tc>
          <w:tcPr>
            <w:tcW w:type="dxa" w:w="1800"/>
            <w:vAlign w:val="center"/>
            <w:shd w:fill="FFFFFF"/>
          </w:tcPr>
          <w:p>
            <w:pPr>
              <w:spacing w:after="0" w:line="269" w:lineRule="auto"/>
            </w:pPr>
            <w:r>
              <w:rPr>
                <w:rFonts w:ascii="Segoe UI" w:hAnsi="Segoe UI"/>
                <w:b w:val="0"/>
                <w:color w:val="000000"/>
                <w:sz w:val="19"/>
              </w:rPr>
              <w:t>Control</w:t>
            </w:r>
          </w:p>
        </w:tc>
        <w:tc>
          <w:tcPr>
            <w:tcW w:type="dxa" w:w="3888"/>
            <w:vAlign w:val="center"/>
            <w:shd w:fill="FFFFFF"/>
          </w:tcPr>
          <w:p>
            <w:pPr>
              <w:spacing w:after="0" w:line="269" w:lineRule="auto"/>
            </w:pPr>
            <w:r>
              <w:rPr>
                <w:rFonts w:ascii="Segoe UI" w:hAnsi="Segoe UI"/>
                <w:b w:val="0"/>
                <w:color w:val="000000"/>
                <w:sz w:val="19"/>
              </w:rPr>
              <w:t>64-bit Windows PC; PYNQ-Z2 and microSD image; Ethernet; isolated USB-RS485 adapter</w:t>
            </w:r>
          </w:p>
        </w:tc>
        <w:tc>
          <w:tcPr>
            <w:tcW w:type="dxa" w:w="4104"/>
            <w:vAlign w:val="center"/>
            <w:shd w:fill="FFFFFF"/>
          </w:tcPr>
          <w:p>
            <w:pPr>
              <w:spacing w:after="0" w:line="269" w:lineRule="auto"/>
            </w:pPr>
            <w:r>
              <w:rPr>
                <w:rFonts w:ascii="Segoe UI" w:hAnsi="Segoe UI"/>
                <w:b w:val="0"/>
                <w:color w:val="000000"/>
                <w:sz w:val="19"/>
              </w:rPr>
              <w:t>.NET Framework 4.8 or 4.8.1; PYNQ BaseOverlay</w:t>
            </w:r>
          </w:p>
        </w:tc>
      </w:tr>
      <w:tr>
        <w:trPr>
          <w:cantSplit/>
        </w:trPr>
        <w:tc>
          <w:tcPr>
            <w:tcW w:type="dxa" w:w="1800"/>
            <w:vAlign w:val="center"/>
            <w:shd w:fill="F3F6F6"/>
          </w:tcPr>
          <w:p>
            <w:pPr>
              <w:spacing w:after="0" w:line="269" w:lineRule="auto"/>
            </w:pPr>
            <w:r>
              <w:rPr>
                <w:rFonts w:ascii="Segoe UI" w:hAnsi="Segoe UI"/>
                <w:b w:val="0"/>
                <w:color w:val="000000"/>
                <w:sz w:val="19"/>
              </w:rPr>
              <w:t>DEP drive</w:t>
            </w:r>
          </w:p>
        </w:tc>
        <w:tc>
          <w:tcPr>
            <w:tcW w:type="dxa" w:w="3888"/>
            <w:vAlign w:val="center"/>
            <w:shd w:fill="F3F6F6"/>
          </w:tcPr>
          <w:p>
            <w:pPr>
              <w:spacing w:after="0" w:line="269" w:lineRule="auto"/>
            </w:pPr>
            <w:r>
              <w:rPr>
                <w:rFonts w:ascii="Segoe UI" w:hAnsi="Segoe UI"/>
                <w:b w:val="0"/>
                <w:color w:val="000000"/>
                <w:sz w:val="19"/>
              </w:rPr>
              <w:t>DG1022Z; ATA-2081; BNC signal leads; insulated electrode leads</w:t>
            </w:r>
          </w:p>
        </w:tc>
        <w:tc>
          <w:tcPr>
            <w:tcW w:type="dxa" w:w="4104"/>
            <w:vAlign w:val="center"/>
            <w:shd w:fill="F3F6F6"/>
          </w:tcPr>
          <w:p>
            <w:pPr>
              <w:spacing w:after="0" w:line="269" w:lineRule="auto"/>
            </w:pPr>
            <w:r>
              <w:rPr>
                <w:rFonts w:ascii="Segoe UI" w:hAnsi="Segoe UI"/>
                <w:b w:val="0"/>
                <w:color w:val="000000"/>
                <w:sz w:val="19"/>
              </w:rPr>
              <w:t>Correct trigger input; rated HV leads and guarded terminals</w:t>
            </w:r>
          </w:p>
        </w:tc>
      </w:tr>
    </w:tbl>
    <w:p>
      <w:pPr>
        <w:spacing w:after="20" w:before="0" w:line="60" w:lineRule="exact"/>
      </w:pPr>
    </w:p>
    <w:p>
      <w:pPr>
        <w:pStyle w:val="Heading2"/>
      </w:pPr>
      <w:r>
        <w:rPr>
          <w:rFonts w:ascii="Segoe UI" w:hAnsi="Segoe UI"/>
        </w:rPr>
        <w:t>Tools at the bench</w:t>
      </w:r>
    </w:p>
    <w:p>
      <w:r>
        <w:rPr>
          <w:rFonts w:ascii="Segoe UI" w:hAnsi="Segoe UI"/>
        </w:rPr>
        <w:t>Prepare the drivers and hex keys required by the mounts, a tubing cutter, compatible cleaning supplies, labels, a multimeter and an oscilloscope. Use low-voltage probes for PMOD signals and the amplifier's documented monitor connection or a correctly rated high-voltage probe for the DEP output.</w:t>
      </w:r>
    </w:p>
    <w:p>
      <w:pPr>
        <w:pStyle w:val="Heading2"/>
      </w:pPr>
      <w:r>
        <w:rPr>
          <w:rFonts w:ascii="Segoe UI" w:hAnsi="Segoe UI"/>
        </w:rPr>
        <w:t>Assembly conditions</w:t>
      </w:r>
    </w:p>
    <w:p>
      <w:r>
        <w:rPr>
          <w:rFonts w:ascii="Segoe UI" w:hAnsi="Segoe UI"/>
        </w:rPr>
        <w:t>Keep fluids below and away from electronics. Secure mounts and strain relief, and keep power switches accessible. Follow the laboratory's laser procedure with wavelength-appropriate protection and beam control. Enclose high-voltage connections and handle them only with the drive disabled and discharged.</w:t>
      </w:r>
    </w:p>
    <w:p>
      <w:pPr>
        <w:pageBreakBefore/>
        <w:spacing w:after="100"/>
      </w:pPr>
      <w:r>
        <w:rPr>
          <w:rFonts w:ascii="Segoe UI" w:hAnsi="Segoe UI"/>
          <w:b/>
          <w:sz w:val="18"/>
        </w:rPr>
        <w:t>ASSEMBLE</w:t>
      </w:r>
    </w:p>
    <w:p>
      <w:pPr>
        <w:pStyle w:val="Heading1"/>
      </w:pPr>
      <w:r>
        <w:rPr>
          <w:rFonts w:ascii="Segoe UI" w:hAnsi="Segoe UI"/>
        </w:rPr>
        <w:t>03 Bench and fluid connections</w:t>
      </w:r>
    </w:p>
    <w:p>
      <w:pPr>
        <w:keepNext/>
        <w:spacing w:after="60"/>
        <w:jc w:val="center"/>
      </w:pPr>
      <w:r>
        <w:drawing>
          <wp:inline xmlns:a="http://schemas.openxmlformats.org/drawingml/2006/main" xmlns:pic="http://schemas.openxmlformats.org/drawingml/2006/picture">
            <wp:extent cx="2423160" cy="2423160"/>
            <wp:docPr id="3" name="Picture 3" descr="Existing optical assembly viewed from the side. Leave the chip and fluid connections accessible."/>
            <wp:cNvGraphicFramePr>
              <a:graphicFrameLocks noChangeAspect="1"/>
            </wp:cNvGraphicFramePr>
            <a:graphic>
              <a:graphicData uri="http://schemas.openxmlformats.org/drawingml/2006/picture">
                <pic:pic>
                  <pic:nvPicPr>
                    <pic:cNvPr id="0" name="optical_bench_side.png"/>
                    <pic:cNvPicPr/>
                  </pic:nvPicPr>
                  <pic:blipFill>
                    <a:blip r:embed="rId13"/>
                    <a:stretch>
                      <a:fillRect/>
                    </a:stretch>
                  </pic:blipFill>
                  <pic:spPr>
                    <a:xfrm>
                      <a:off x="0" y="0"/>
                      <a:ext cx="2423160" cy="2423160"/>
                    </a:xfrm>
                    <a:prstGeom prst="rect"/>
                  </pic:spPr>
                </pic:pic>
              </a:graphicData>
            </a:graphic>
          </wp:inline>
        </w:drawing>
      </w:r>
    </w:p>
    <w:p>
      <w:pPr>
        <w:pStyle w:val="Caption"/>
        <w:spacing w:after="240"/>
      </w:pPr>
      <w:r>
        <w:rPr>
          <w:rFonts w:ascii="Segoe UI" w:hAnsi="Segoe UI"/>
        </w:rPr>
        <w:t>Existing optical assembly viewed from the side. Leave the chip and fluid connections accessible.</w:t>
      </w:r>
    </w:p>
    <w:p>
      <w:r>
        <w:rPr>
          <w:rFonts w:ascii="Segoe UI" w:hAnsi="Segoe UI"/>
        </w:rPr>
        <w:t>Secure the base and chip holder. Keep both pump pushrods visible and support tubing without tension at the chip. Place waste where its tubing cannot pull on the fittings. Route PMT and PYNQ signals separately from the amplifier output; keep the laser and drive disabled.</w:t>
      </w:r>
    </w:p>
    <w:p>
      <w:pPr>
        <w:pStyle w:val="Heading2"/>
      </w:pPr>
      <w:r>
        <w:rPr>
          <w:rFonts w:ascii="Segoe UI" w:hAnsi="Segoe UI"/>
        </w:rPr>
        <w:t>Connect the fluid path</w:t>
      </w:r>
    </w:p>
    <w:p>
      <w:pPr>
        <w:ind w:left="360" w:hanging="360"/>
      </w:pPr>
      <w:r>
        <w:rPr>
          <w:rFonts w:ascii="Segoe UI" w:hAnsi="Segoe UI"/>
          <w:b/>
        </w:rPr>
        <w:t xml:space="preserve">1. </w:t>
      </w:r>
      <w:r>
        <w:rPr>
          <w:rFonts w:ascii="Segoe UI" w:hAnsi="Segoe UI"/>
        </w:rPr>
        <w:t>Identify the chip's aqueous inlet, oil inlet and outlet from its port map. For the sorting chip, identify the reinjection, collection and waste paths as well.</w:t>
      </w:r>
    </w:p>
    <w:p>
      <w:pPr>
        <w:ind w:left="360" w:hanging="360"/>
      </w:pPr>
      <w:r>
        <w:rPr>
          <w:rFonts w:ascii="Segoe UI" w:hAnsi="Segoe UI"/>
          <w:b/>
        </w:rPr>
        <w:t xml:space="preserve">2. </w:t>
      </w:r>
      <w:r>
        <w:rPr>
          <w:rFonts w:ascii="Segoe UI" w:hAnsi="Segoe UI"/>
        </w:rPr>
        <w:t>Secure the syringes in the LSP02-3B clamps. Seat each barrel and bring the pushrod into contact with its plunger without forcing fluid into the chip.</w:t>
      </w:r>
    </w:p>
    <w:p>
      <w:pPr>
        <w:ind w:left="360" w:hanging="360"/>
      </w:pPr>
      <w:r>
        <w:rPr>
          <w:rFonts w:ascii="Segoe UI" w:hAnsi="Segoe UI"/>
          <w:b/>
        </w:rPr>
        <w:t xml:space="preserve">3. </w:t>
      </w:r>
      <w:r>
        <w:rPr>
          <w:rFonts w:ascii="Segoe UI" w:hAnsi="Segoe UI"/>
        </w:rPr>
        <w:t>Connect the oil syringe through compatible Tygon tubing. Fit PEEK tubing or capillary adapters to the remaining ports as required. Match the actual port and connector sizes; never force an oversized fitting.</w:t>
      </w:r>
    </w:p>
    <w:p>
      <w:pPr>
        <w:ind w:left="360" w:hanging="360"/>
      </w:pPr>
      <w:r>
        <w:rPr>
          <w:rFonts w:ascii="Segoe UI" w:hAnsi="Segoe UI"/>
          <w:b/>
        </w:rPr>
        <w:t xml:space="preserve">4. </w:t>
      </w:r>
      <w:r>
        <w:rPr>
          <w:rFonts w:ascii="Segoe UI" w:hAnsi="Segoe UI"/>
        </w:rPr>
        <w:t>Label the aqueous and oil lines at both ends. In the reference arrangement, channel 1 supplies aqueous phase and channel 2 supplies oil.</w:t>
      </w:r>
    </w:p>
    <w:p>
      <w:pPr>
        <w:ind w:left="360" w:hanging="360"/>
      </w:pPr>
      <w:r>
        <w:rPr>
          <w:rFonts w:ascii="Segoe UI" w:hAnsi="Segoe UI"/>
          <w:b/>
        </w:rPr>
        <w:t xml:space="preserve">5. </w:t>
      </w:r>
      <w:r>
        <w:rPr>
          <w:rFonts w:ascii="Segoe UI" w:hAnsi="Segoe UI"/>
        </w:rPr>
        <w:t>Route the outlets to their containers and check every junction. Enter the actual syringe dimensions in the pump before running either channel.</w:t>
      </w:r>
    </w:p>
    <w:p>
      <w:pPr>
        <w:pStyle w:val="Heading2"/>
      </w:pPr>
      <w:r>
        <w:rPr>
          <w:rFonts w:ascii="Segoe UI" w:hAnsi="Segoe UI"/>
        </w:rPr>
        <w:t>Ready to continue</w:t>
      </w:r>
    </w:p>
    <w:p>
      <w:r>
        <w:rPr>
          <w:rFonts w:ascii="Segoe UI" w:hAnsi="Segoe UI"/>
        </w:rPr>
        <w:t>The chip is held flat, the camera view can include the channel and sorting junction, tubing does not load the ports mechanically, and both plungers have sufficient travel for the intended operation.</w:t>
      </w:r>
    </w:p>
    <w:p>
      <w:pPr>
        <w:pageBreakBefore/>
        <w:spacing w:after="100"/>
      </w:pPr>
      <w:r>
        <w:rPr>
          <w:rFonts w:ascii="Segoe UI" w:hAnsi="Segoe UI"/>
          <w:b/>
          <w:sz w:val="18"/>
        </w:rPr>
        <w:t>ASSEMBLE</w:t>
      </w:r>
    </w:p>
    <w:p>
      <w:pPr>
        <w:pStyle w:val="Heading1"/>
      </w:pPr>
      <w:r>
        <w:rPr>
          <w:rFonts w:ascii="Segoe UI" w:hAnsi="Segoe UI"/>
        </w:rPr>
        <w:t>04 Prime and establish droplets</w:t>
      </w:r>
    </w:p>
    <w:p>
      <w:pPr>
        <w:ind w:left="360" w:hanging="360"/>
      </w:pPr>
      <w:r>
        <w:rPr>
          <w:rFonts w:ascii="Segoe UI" w:hAnsi="Segoe UI"/>
          <w:b/>
        </w:rPr>
        <w:t xml:space="preserve">1. </w:t>
      </w:r>
      <w:r>
        <w:rPr>
          <w:rFonts w:ascii="Segoe UI" w:hAnsi="Segoe UI"/>
        </w:rPr>
        <w:t>Prepare the aqueous sample and compatible oil formulation for the chip and assay. Fill the syringes and lines without visible air, using the validated formulation associated with that chip.</w:t>
      </w:r>
    </w:p>
    <w:p>
      <w:pPr>
        <w:ind w:left="360" w:hanging="360"/>
      </w:pPr>
      <w:r>
        <w:rPr>
          <w:rFonts w:ascii="Segoe UI" w:hAnsi="Segoe UI"/>
          <w:b/>
        </w:rPr>
        <w:t xml:space="preserve">2. </w:t>
      </w:r>
      <w:r>
        <w:rPr>
          <w:rFonts w:ascii="Segoe UI" w:hAnsi="Segoe UI"/>
        </w:rPr>
        <w:t>With the tubing outlet in waste, use the pump front panel to prime each line at a conservative setting. Stop before attaching the primed lines to the chip.</w:t>
      </w:r>
    </w:p>
    <w:p>
      <w:pPr>
        <w:ind w:left="360" w:hanging="360"/>
      </w:pPr>
      <w:r>
        <w:rPr>
          <w:rFonts w:ascii="Segoe UI" w:hAnsi="Segoe UI"/>
          <w:b/>
        </w:rPr>
        <w:t xml:space="preserve">3. </w:t>
      </w:r>
      <w:r>
        <w:rPr>
          <w:rFonts w:ascii="Segoe UI" w:hAnsi="Segoe UI"/>
        </w:rPr>
        <w:t>Reconnect without introducing bubbles. Start oil and aqueous delivery under camera or microscope observation. Inspect fittings and chip bonds for leakage.</w:t>
      </w:r>
    </w:p>
    <w:p>
      <w:pPr>
        <w:ind w:left="360" w:hanging="360"/>
      </w:pPr>
      <w:r>
        <w:rPr>
          <w:rFonts w:ascii="Segoe UI" w:hAnsi="Segoe UI"/>
          <w:b/>
        </w:rPr>
        <w:t xml:space="preserve">4. </w:t>
      </w:r>
      <w:r>
        <w:rPr>
          <w:rFonts w:ascii="Segoe UI" w:hAnsi="Segoe UI"/>
        </w:rPr>
        <w:t>Adjust one flow setting at a time until there is a continuous train of separated droplets. Stop for blockage, leakage or abrupt pressure changes; do not force a blocked chip.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024"/>
        <w:gridCol w:w="2448"/>
        <w:gridCol w:w="4320"/>
      </w:tblGrid>
      <w:tr>
        <w:trPr>
          <w:tblHeader/>
          <w:cantSplit/>
        </w:trPr>
        <w:tc>
          <w:tcPr>
            <w:tcW w:type="dxa" w:w="3024"/>
            <w:vAlign w:val="center"/>
            <w:shd w:fill="263238"/>
          </w:tcPr>
          <w:p>
            <w:pPr>
              <w:spacing w:after="0" w:line="269" w:lineRule="auto"/>
            </w:pPr>
            <w:r>
              <w:rPr>
                <w:rFonts w:ascii="Segoe UI" w:hAnsi="Segoe UI"/>
                <w:b/>
                <w:color w:val="FFFFFF"/>
                <w:sz w:val="19"/>
              </w:rPr>
              <w:t>Reference setting</w:t>
            </w:r>
          </w:p>
        </w:tc>
        <w:tc>
          <w:tcPr>
            <w:tcW w:type="dxa" w:w="2448"/>
            <w:vAlign w:val="center"/>
            <w:shd w:fill="263238"/>
          </w:tcPr>
          <w:p>
            <w:pPr>
              <w:spacing w:after="0" w:line="269" w:lineRule="auto"/>
            </w:pPr>
            <w:r>
              <w:rPr>
                <w:rFonts w:ascii="Segoe UI" w:hAnsi="Segoe UI"/>
                <w:b/>
                <w:color w:val="FFFFFF"/>
                <w:sz w:val="19"/>
              </w:rPr>
              <w:t>Value</w:t>
            </w:r>
          </w:p>
        </w:tc>
        <w:tc>
          <w:tcPr>
            <w:tcW w:type="dxa" w:w="4320"/>
            <w:vAlign w:val="center"/>
            <w:shd w:fill="263238"/>
          </w:tcPr>
          <w:p>
            <w:pPr>
              <w:spacing w:after="0" w:line="269" w:lineRule="auto"/>
            </w:pPr>
            <w:r>
              <w:rPr>
                <w:rFonts w:ascii="Segoe UI" w:hAnsi="Segoe UI"/>
                <w:b/>
                <w:color w:val="FFFFFF"/>
                <w:sz w:val="19"/>
              </w:rPr>
              <w:t>Use</w:t>
            </w:r>
          </w:p>
        </w:tc>
      </w:tr>
      <w:tr>
        <w:trPr>
          <w:cantSplit/>
        </w:trPr>
        <w:tc>
          <w:tcPr>
            <w:tcW w:type="dxa" w:w="3024"/>
            <w:vAlign w:val="center"/>
            <w:shd w:fill="F3F6F6"/>
          </w:tcPr>
          <w:p>
            <w:pPr>
              <w:spacing w:after="0" w:line="269" w:lineRule="auto"/>
            </w:pPr>
            <w:r>
              <w:rPr>
                <w:rFonts w:ascii="Segoe UI" w:hAnsi="Segoe UI"/>
                <w:b w:val="0"/>
                <w:color w:val="000000"/>
                <w:sz w:val="19"/>
              </w:rPr>
              <w:t>Aqueous delivery</w:t>
            </w:r>
          </w:p>
        </w:tc>
        <w:tc>
          <w:tcPr>
            <w:tcW w:type="dxa" w:w="2448"/>
            <w:vAlign w:val="center"/>
            <w:shd w:fill="F3F6F6"/>
          </w:tcPr>
          <w:p>
            <w:pPr>
              <w:spacing w:after="0" w:line="269" w:lineRule="auto"/>
            </w:pPr>
            <w:r>
              <w:rPr>
                <w:rFonts w:ascii="Segoe UI" w:hAnsi="Segoe UI"/>
                <w:b w:val="0"/>
                <w:color w:val="000000"/>
                <w:sz w:val="19"/>
              </w:rPr>
              <w:t>1.5 uL/min</w:t>
            </w:r>
          </w:p>
        </w:tc>
        <w:tc>
          <w:tcPr>
            <w:tcW w:type="dxa" w:w="4320"/>
            <w:vAlign w:val="center"/>
            <w:shd w:fill="F3F6F6"/>
          </w:tcPr>
          <w:p>
            <w:pPr>
              <w:spacing w:after="0" w:line="269" w:lineRule="auto"/>
            </w:pPr>
            <w:r>
              <w:rPr>
                <w:rFonts w:ascii="Segoe UI" w:hAnsi="Segoe UI"/>
                <w:b w:val="0"/>
                <w:color w:val="000000"/>
                <w:sz w:val="19"/>
              </w:rPr>
              <w:t>Reference for the documented generation setup</w:t>
            </w:r>
          </w:p>
        </w:tc>
      </w:tr>
      <w:tr>
        <w:trPr>
          <w:cantSplit/>
        </w:trPr>
        <w:tc>
          <w:tcPr>
            <w:tcW w:type="dxa" w:w="3024"/>
            <w:vAlign w:val="center"/>
            <w:shd w:fill="FFFFFF"/>
          </w:tcPr>
          <w:p>
            <w:pPr>
              <w:spacing w:after="0" w:line="269" w:lineRule="auto"/>
            </w:pPr>
            <w:r>
              <w:rPr>
                <w:rFonts w:ascii="Segoe UI" w:hAnsi="Segoe UI"/>
                <w:b w:val="0"/>
                <w:color w:val="000000"/>
                <w:sz w:val="19"/>
              </w:rPr>
              <w:t>Oil delivery</w:t>
            </w:r>
          </w:p>
        </w:tc>
        <w:tc>
          <w:tcPr>
            <w:tcW w:type="dxa" w:w="2448"/>
            <w:vAlign w:val="center"/>
            <w:shd w:fill="FFFFFF"/>
          </w:tcPr>
          <w:p>
            <w:pPr>
              <w:spacing w:after="0" w:line="269" w:lineRule="auto"/>
            </w:pPr>
            <w:r>
              <w:rPr>
                <w:rFonts w:ascii="Segoe UI" w:hAnsi="Segoe UI"/>
                <w:b w:val="0"/>
                <w:color w:val="000000"/>
                <w:sz w:val="19"/>
              </w:rPr>
              <w:t>500 uL in 28.5 min</w:t>
            </w:r>
          </w:p>
        </w:tc>
        <w:tc>
          <w:tcPr>
            <w:tcW w:type="dxa" w:w="4320"/>
            <w:vAlign w:val="center"/>
            <w:shd w:fill="FFFFFF"/>
          </w:tcPr>
          <w:p>
            <w:pPr>
              <w:spacing w:after="0" w:line="269" w:lineRule="auto"/>
            </w:pPr>
            <w:r>
              <w:rPr>
                <w:rFonts w:ascii="Segoe UI" w:hAnsi="Segoe UI"/>
                <w:b w:val="0"/>
                <w:color w:val="000000"/>
                <w:sz w:val="19"/>
              </w:rPr>
              <w:t>Approximately 17.5 uL/min</w:t>
            </w:r>
          </w:p>
        </w:tc>
      </w:tr>
      <w:tr>
        <w:trPr>
          <w:cantSplit/>
        </w:trPr>
        <w:tc>
          <w:tcPr>
            <w:tcW w:type="dxa" w:w="3024"/>
            <w:vAlign w:val="center"/>
            <w:shd w:fill="F3F6F6"/>
          </w:tcPr>
          <w:p>
            <w:pPr>
              <w:spacing w:after="0" w:line="269" w:lineRule="auto"/>
            </w:pPr>
            <w:r>
              <w:rPr>
                <w:rFonts w:ascii="Segoe UI" w:hAnsi="Segoe UI"/>
                <w:b w:val="0"/>
                <w:color w:val="000000"/>
                <w:sz w:val="19"/>
              </w:rPr>
              <w:t>Droplet diameter</w:t>
            </w:r>
          </w:p>
        </w:tc>
        <w:tc>
          <w:tcPr>
            <w:tcW w:type="dxa" w:w="2448"/>
            <w:vAlign w:val="center"/>
            <w:shd w:fill="F3F6F6"/>
          </w:tcPr>
          <w:p>
            <w:pPr>
              <w:spacing w:after="0" w:line="269" w:lineRule="auto"/>
            </w:pPr>
            <w:r>
              <w:rPr>
                <w:rFonts w:ascii="Segoe UI" w:hAnsi="Segoe UI"/>
                <w:b w:val="0"/>
                <w:color w:val="000000"/>
                <w:sz w:val="19"/>
              </w:rPr>
              <w:t>Approximately 30 um</w:t>
            </w:r>
          </w:p>
        </w:tc>
        <w:tc>
          <w:tcPr>
            <w:tcW w:type="dxa" w:w="4320"/>
            <w:vAlign w:val="center"/>
            <w:shd w:fill="F3F6F6"/>
          </w:tcPr>
          <w:p>
            <w:pPr>
              <w:spacing w:after="0" w:line="269" w:lineRule="auto"/>
            </w:pPr>
            <w:r>
              <w:rPr>
                <w:rFonts w:ascii="Segoe UI" w:hAnsi="Segoe UI"/>
                <w:b w:val="0"/>
                <w:color w:val="000000"/>
                <w:sz w:val="19"/>
              </w:rPr>
              <w:t>Measure on the installed chip and adjust phase flows</w:t>
            </w:r>
          </w:p>
        </w:tc>
      </w:tr>
      <w:tr>
        <w:trPr>
          <w:cantSplit/>
        </w:trPr>
        <w:tc>
          <w:tcPr>
            <w:tcW w:type="dxa" w:w="3024"/>
            <w:vAlign w:val="center"/>
            <w:shd w:fill="FFFFFF"/>
          </w:tcPr>
          <w:p>
            <w:pPr>
              <w:spacing w:after="0" w:line="269" w:lineRule="auto"/>
            </w:pPr>
            <w:r>
              <w:rPr>
                <w:rFonts w:ascii="Segoe UI" w:hAnsi="Segoe UI"/>
                <w:b w:val="0"/>
                <w:color w:val="000000"/>
                <w:sz w:val="19"/>
              </w:rPr>
              <w:t>Reference incubation</w:t>
            </w:r>
          </w:p>
        </w:tc>
        <w:tc>
          <w:tcPr>
            <w:tcW w:type="dxa" w:w="2448"/>
            <w:vAlign w:val="center"/>
            <w:shd w:fill="FFFFFF"/>
          </w:tcPr>
          <w:p>
            <w:pPr>
              <w:spacing w:after="0" w:line="269" w:lineRule="auto"/>
            </w:pPr>
            <w:r>
              <w:rPr>
                <w:rFonts w:ascii="Segoe UI" w:hAnsi="Segoe UI"/>
                <w:b w:val="0"/>
                <w:color w:val="000000"/>
                <w:sz w:val="19"/>
              </w:rPr>
              <w:t>30 deg C for 16 h</w:t>
            </w:r>
          </w:p>
        </w:tc>
        <w:tc>
          <w:tcPr>
            <w:tcW w:type="dxa" w:w="4320"/>
            <w:vAlign w:val="center"/>
            <w:shd w:fill="FFFFFF"/>
          </w:tcPr>
          <w:p>
            <w:pPr>
              <w:spacing w:after="0" w:line="269" w:lineRule="auto"/>
            </w:pPr>
            <w:r>
              <w:rPr>
                <w:rFonts w:ascii="Segoe UI" w:hAnsi="Segoe UI"/>
                <w:b w:val="0"/>
                <w:color w:val="000000"/>
                <w:sz w:val="19"/>
              </w:rPr>
              <w:t>Apply to the matching biological workflow</w:t>
            </w:r>
          </w:p>
        </w:tc>
      </w:tr>
    </w:tbl>
    <w:p>
      <w:pPr>
        <w:spacing w:after="20" w:before="0" w:line="60" w:lineRule="exact"/>
      </w:pPr>
    </w:p>
    <w:p>
      <w:pPr>
        <w:pStyle w:val="Heading2"/>
      </w:pPr>
      <w:r>
        <w:rPr>
          <w:rFonts w:ascii="Segoe UI" w:hAnsi="Segoe UI"/>
        </w:rPr>
        <w:t>Reinject incubated droplets</w:t>
      </w:r>
    </w:p>
    <w:p>
      <w:r>
        <w:rPr>
          <w:rFonts w:ascii="Segoe UI" w:hAnsi="Segoe UI"/>
        </w:rPr>
        <w:t>Collect droplets in a compatible tube and apply the assay's incubation conditions. Prefill the reinjection syringe with a small volume of compatible fluorinated oil, gently load the emulsion and prime the connection to the sorting chip. Start slowly and adjust spacing while watching the detection region. Keep collection and waste outlets separate.</w:t>
      </w:r>
    </w:p>
    <w:p>
      <w:pPr>
        <w:pStyle w:val="Heading2"/>
      </w:pPr>
      <w:r>
        <w:rPr>
          <w:rFonts w:ascii="Segoe UI" w:hAnsi="Segoe UI"/>
        </w:rPr>
        <w:t>Expected observation</w:t>
      </w:r>
    </w:p>
    <w:p>
      <w:r>
        <w:rPr>
          <w:rFonts w:ascii="Segoe UI" w:hAnsi="Segoe UI"/>
        </w:rPr>
        <w:t>Droplets are separated, similar in size and moving through the intended channel without visible air, leakage or persistent merging. If they merge during reinjection, stop and check the formulation, loading method and flow setting before resuming.</w:t>
      </w:r>
    </w:p>
    <w:p>
      <w:pPr>
        <w:pageBreakBefore/>
        <w:spacing w:after="100"/>
      </w:pPr>
      <w:r>
        <w:rPr>
          <w:rFonts w:ascii="Segoe UI" w:hAnsi="Segoe UI"/>
          <w:b/>
          <w:sz w:val="18"/>
        </w:rPr>
        <w:t>ASSEMBLE</w:t>
      </w:r>
    </w:p>
    <w:p>
      <w:pPr>
        <w:pStyle w:val="Heading1"/>
      </w:pPr>
      <w:r>
        <w:rPr>
          <w:rFonts w:ascii="Segoe UI" w:hAnsi="Segoe UI"/>
        </w:rPr>
        <w:t>05 Install the optical path</w:t>
      </w:r>
    </w:p>
    <w:p>
      <w:pPr>
        <w:keepNext/>
        <w:spacing w:after="60"/>
        <w:jc w:val="center"/>
      </w:pPr>
      <w:r>
        <w:drawing>
          <wp:inline xmlns:a="http://schemas.openxmlformats.org/drawingml/2006/main" xmlns:pic="http://schemas.openxmlformats.org/drawingml/2006/picture">
            <wp:extent cx="4846320" cy="2877502"/>
            <wp:docPr id="4" name="Picture 4" descr="Optical functions and signal separation. Mounting positions follow the selected cage and chip hardware."/>
            <wp:cNvGraphicFramePr>
              <a:graphicFrameLocks noChangeAspect="1"/>
            </wp:cNvGraphicFramePr>
            <a:graphic>
              <a:graphicData uri="http://schemas.openxmlformats.org/drawingml/2006/picture">
                <pic:pic>
                  <pic:nvPicPr>
                    <pic:cNvPr id="0" name="optical_path.png"/>
                    <pic:cNvPicPr/>
                  </pic:nvPicPr>
                  <pic:blipFill>
                    <a:blip r:embed="rId14"/>
                    <a:stretch>
                      <a:fillRect/>
                    </a:stretch>
                  </pic:blipFill>
                  <pic:spPr>
                    <a:xfrm>
                      <a:off x="0" y="0"/>
                      <a:ext cx="4846320" cy="2877502"/>
                    </a:xfrm>
                    <a:prstGeom prst="rect"/>
                  </pic:spPr>
                </pic:pic>
              </a:graphicData>
            </a:graphic>
          </wp:inline>
        </w:drawing>
      </w:r>
    </w:p>
    <w:p>
      <w:pPr>
        <w:pStyle w:val="Caption"/>
        <w:spacing w:after="240"/>
      </w:pPr>
      <w:r>
        <w:rPr>
          <w:rFonts w:ascii="Segoe UI" w:hAnsi="Segoe UI"/>
        </w:rPr>
        <w:t>Optical functions and signal separation. Mounting positions follow the selected cage and chip hardware.</w:t>
      </w:r>
    </w:p>
    <w:p>
      <w:pPr>
        <w:ind w:left="360" w:hanging="360"/>
      </w:pPr>
      <w:r>
        <w:rPr>
          <w:rFonts w:ascii="Segoe UI" w:hAnsi="Segoe UI"/>
          <w:b/>
        </w:rPr>
        <w:t xml:space="preserve">1. </w:t>
      </w:r>
      <w:r>
        <w:rPr>
          <w:rFonts w:ascii="Segoe UI" w:hAnsi="Segoe UI"/>
        </w:rPr>
        <w:t>Keep the laser disabled and the PMT unpowered and covered. Secure the excitation, objective, dichroic, filter, camera and detector mounts before alignment.</w:t>
      </w:r>
    </w:p>
    <w:p>
      <w:pPr>
        <w:ind w:left="360" w:hanging="360"/>
      </w:pPr>
      <w:r>
        <w:rPr>
          <w:rFonts w:ascii="Segoe UI" w:hAnsi="Segoe UI"/>
          <w:b/>
        </w:rPr>
        <w:t xml:space="preserve">2. </w:t>
      </w:r>
      <w:r>
        <w:rPr>
          <w:rFonts w:ascii="Segoe UI" w:hAnsi="Segoe UI"/>
        </w:rPr>
        <w:t>Fit the source and filters as a matched set. The eGFP reference uses 488 nm excitation, a DMLP505R dichroic and an FBH520-40 emission component. Preserve the full filter stack for the selected path.</w:t>
      </w:r>
    </w:p>
    <w:p>
      <w:pPr>
        <w:ind w:left="360" w:hanging="360"/>
      </w:pPr>
      <w:r>
        <w:rPr>
          <w:rFonts w:ascii="Segoe UI" w:hAnsi="Segoe UI"/>
          <w:b/>
        </w:rPr>
        <w:t xml:space="preserve">3. </w:t>
      </w:r>
      <w:r>
        <w:rPr>
          <w:rFonts w:ascii="Segoe UI" w:hAnsi="Segoe UI"/>
        </w:rPr>
        <w:t>Focus the camera on the interrogation region using observation illumination. The reference arrangement uses illumination near 700 nm and an ND element in the camera path.</w:t>
      </w:r>
    </w:p>
    <w:p>
      <w:pPr>
        <w:ind w:left="360" w:hanging="360"/>
      </w:pPr>
      <w:r>
        <w:rPr>
          <w:rFonts w:ascii="Segoe UI" w:hAnsi="Segoe UI"/>
          <w:b/>
        </w:rPr>
        <w:t xml:space="preserve">4. </w:t>
      </w:r>
      <w:r>
        <w:rPr>
          <w:rFonts w:ascii="Segoe UI" w:hAnsi="Segoe UI"/>
        </w:rPr>
        <w:t>Follow the laboratory laser-alignment procedure at the lowest practical illumination. Place the interrogation spot across the droplet path, use suitable beam-control equipment and never look into the optical axis.</w:t>
      </w:r>
    </w:p>
    <w:p>
      <w:pPr>
        <w:ind w:left="360" w:hanging="360"/>
      </w:pPr>
      <w:r>
        <w:rPr>
          <w:rFonts w:ascii="Segoe UI" w:hAnsi="Segoe UI"/>
          <w:b/>
        </w:rPr>
        <w:t xml:space="preserve">5. </w:t>
      </w:r>
      <w:r>
        <w:rPr>
          <w:rFonts w:ascii="Segoe UI" w:hAnsi="Segoe UI"/>
        </w:rPr>
        <w:t>Install the emission-filtered PMT path and close the shielding. Complete detector connections before applying PMT power.</w:t>
      </w:r>
    </w:p>
    <w:p>
      <w:pPr>
        <w:pStyle w:val="Heading2"/>
      </w:pPr>
      <w:r>
        <w:rPr>
          <w:rFonts w:ascii="Segoe UI" w:hAnsi="Segoe UI"/>
        </w:rPr>
        <w:t>Confirm the separation</w:t>
      </w:r>
    </w:p>
    <w:p>
      <w:r>
        <w:rPr>
          <w:rFonts w:ascii="Segoe UI" w:hAnsi="Segoe UI"/>
        </w:rPr>
        <w:t>After section 09 brings the counter online, check the shielded dark level, background with the selected illumination and signal from the intended fluorescent sample. The camera should resolve the channel while observation illumination remains controlled at the PMT. Disable excitation and PMT power before investigating unexpectedly high counts.</w:t>
      </w:r>
    </w:p>
    <w:p>
      <w:r>
        <w:rPr>
          <w:rFonts w:ascii="Segoe UI" w:hAnsi="Segoe UI"/>
        </w:rPr>
        <w:t>For another fluorophore, select a matched source, dichroic and emission-filter set. The BOM includes mCherry options near 587 nm excitation and 610 nm emission; the eGFP values are not a universal configuration.</w:t>
      </w:r>
    </w:p>
    <w:p>
      <w:pPr>
        <w:pageBreakBefore/>
        <w:spacing w:after="100"/>
      </w:pPr>
      <w:r>
        <w:rPr>
          <w:rFonts w:ascii="Segoe UI" w:hAnsi="Segoe UI"/>
          <w:b/>
          <w:sz w:val="18"/>
        </w:rPr>
        <w:t>CONNECT</w:t>
      </w:r>
    </w:p>
    <w:p>
      <w:pPr>
        <w:pStyle w:val="Heading1"/>
      </w:pPr>
      <w:r>
        <w:rPr>
          <w:rFonts w:ascii="Segoe UI" w:hAnsi="Segoe UI"/>
        </w:rPr>
        <w:t>06 Electrical connections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808"/>
        <w:gridCol w:w="3096"/>
        <w:gridCol w:w="3888"/>
      </w:tblGrid>
      <w:tr>
        <w:trPr>
          <w:tblHeader/>
          <w:cantSplit/>
        </w:trPr>
        <w:tc>
          <w:tcPr>
            <w:tcW w:type="dxa" w:w="2808"/>
            <w:vAlign w:val="center"/>
            <w:shd w:fill="263238"/>
          </w:tcPr>
          <w:p>
            <w:pPr>
              <w:spacing w:after="0" w:line="269" w:lineRule="auto"/>
            </w:pPr>
            <w:r>
              <w:rPr>
                <w:rFonts w:ascii="Segoe UI" w:hAnsi="Segoe UI"/>
                <w:b/>
                <w:color w:val="FFFFFF"/>
                <w:sz w:val="19"/>
              </w:rPr>
              <w:t>From</w:t>
            </w:r>
          </w:p>
        </w:tc>
        <w:tc>
          <w:tcPr>
            <w:tcW w:type="dxa" w:w="3096"/>
            <w:vAlign w:val="center"/>
            <w:shd w:fill="263238"/>
          </w:tcPr>
          <w:p>
            <w:pPr>
              <w:spacing w:after="0" w:line="269" w:lineRule="auto"/>
            </w:pPr>
            <w:r>
              <w:rPr>
                <w:rFonts w:ascii="Segoe UI" w:hAnsi="Segoe UI"/>
                <w:b/>
                <w:color w:val="FFFFFF"/>
                <w:sz w:val="19"/>
              </w:rPr>
              <w:t>To</w:t>
            </w:r>
          </w:p>
        </w:tc>
        <w:tc>
          <w:tcPr>
            <w:tcW w:type="dxa" w:w="3888"/>
            <w:vAlign w:val="center"/>
            <w:shd w:fill="263238"/>
          </w:tcPr>
          <w:p>
            <w:pPr>
              <w:spacing w:after="0" w:line="269" w:lineRule="auto"/>
            </w:pPr>
            <w:r>
              <w:rPr>
                <w:rFonts w:ascii="Segoe UI" w:hAnsi="Segoe UI"/>
                <w:b/>
                <w:color w:val="FFFFFF"/>
                <w:sz w:val="19"/>
              </w:rPr>
              <w:t>Connection</w:t>
            </w:r>
          </w:p>
        </w:tc>
      </w:tr>
      <w:tr>
        <w:trPr>
          <w:cantSplit/>
        </w:trPr>
        <w:tc>
          <w:tcPr>
            <w:tcW w:type="dxa" w:w="2808"/>
            <w:vAlign w:val="center"/>
            <w:shd w:fill="F3F6F6"/>
          </w:tcPr>
          <w:p>
            <w:pPr>
              <w:spacing w:after="0" w:line="269" w:lineRule="auto"/>
            </w:pPr>
            <w:r>
              <w:rPr>
                <w:rFonts w:ascii="Segoe UI" w:hAnsi="Segoe UI"/>
                <w:b w:val="0"/>
                <w:color w:val="000000"/>
                <w:sz w:val="19"/>
              </w:rPr>
              <w:t>H10682 signal output</w:t>
            </w:r>
          </w:p>
        </w:tc>
        <w:tc>
          <w:tcPr>
            <w:tcW w:type="dxa" w:w="3096"/>
            <w:vAlign w:val="center"/>
            <w:shd w:fill="F3F6F6"/>
          </w:tcPr>
          <w:p>
            <w:pPr>
              <w:spacing w:after="0" w:line="269" w:lineRule="auto"/>
            </w:pPr>
            <w:r>
              <w:rPr>
                <w:rFonts w:ascii="Segoe UI" w:hAnsi="Segoe UI"/>
                <w:b w:val="0"/>
                <w:color w:val="000000"/>
                <w:sz w:val="19"/>
              </w:rPr>
              <w:t>CH297 input</w:t>
            </w:r>
          </w:p>
        </w:tc>
        <w:tc>
          <w:tcPr>
            <w:tcW w:type="dxa" w:w="3888"/>
            <w:vAlign w:val="center"/>
            <w:shd w:fill="F3F6F6"/>
          </w:tcPr>
          <w:p>
            <w:pPr>
              <w:spacing w:after="0" w:line="269" w:lineRule="auto"/>
            </w:pPr>
            <w:r>
              <w:rPr>
                <w:rFonts w:ascii="Segoe UI" w:hAnsi="Segoe UI"/>
                <w:b w:val="0"/>
                <w:color w:val="000000"/>
                <w:sz w:val="19"/>
              </w:rPr>
              <w:t>Coaxial signal lead; match detector termination requirements</w:t>
            </w:r>
          </w:p>
        </w:tc>
      </w:tr>
      <w:tr>
        <w:trPr>
          <w:cantSplit/>
        </w:trPr>
        <w:tc>
          <w:tcPr>
            <w:tcW w:type="dxa" w:w="2808"/>
            <w:vAlign w:val="center"/>
            <w:shd w:fill="FFFFFF"/>
          </w:tcPr>
          <w:p>
            <w:pPr>
              <w:spacing w:after="0" w:line="269" w:lineRule="auto"/>
            </w:pPr>
            <w:r>
              <w:rPr>
                <w:rFonts w:ascii="Segoe UI" w:hAnsi="Segoe UI"/>
                <w:b w:val="0"/>
                <w:color w:val="000000"/>
                <w:sz w:val="19"/>
              </w:rPr>
              <w:t>CH297</w:t>
            </w:r>
          </w:p>
        </w:tc>
        <w:tc>
          <w:tcPr>
            <w:tcW w:type="dxa" w:w="3096"/>
            <w:vAlign w:val="center"/>
            <w:shd w:fill="FFFFFF"/>
          </w:tcPr>
          <w:p>
            <w:pPr>
              <w:spacing w:after="0" w:line="269" w:lineRule="auto"/>
            </w:pPr>
            <w:r>
              <w:rPr>
                <w:rFonts w:ascii="Segoe UI" w:hAnsi="Segoe UI"/>
                <w:b w:val="0"/>
                <w:color w:val="000000"/>
                <w:sz w:val="19"/>
              </w:rPr>
              <w:t>Windows PC</w:t>
            </w:r>
          </w:p>
        </w:tc>
        <w:tc>
          <w:tcPr>
            <w:tcW w:type="dxa" w:w="3888"/>
            <w:vAlign w:val="center"/>
            <w:shd w:fill="FFFFFF"/>
          </w:tcPr>
          <w:p>
            <w:pPr>
              <w:spacing w:after="0" w:line="269" w:lineRule="auto"/>
            </w:pPr>
            <w:r>
              <w:rPr>
                <w:rFonts w:ascii="Segoe UI" w:hAnsi="Segoe UI"/>
                <w:b w:val="0"/>
                <w:color w:val="000000"/>
                <w:sz w:val="19"/>
              </w:rPr>
              <w:t>USB; supplier driver exposes the COM port</w:t>
            </w:r>
          </w:p>
        </w:tc>
      </w:tr>
      <w:tr>
        <w:trPr>
          <w:cantSplit/>
        </w:trPr>
        <w:tc>
          <w:tcPr>
            <w:tcW w:type="dxa" w:w="2808"/>
            <w:vAlign w:val="center"/>
            <w:shd w:fill="F3F6F6"/>
          </w:tcPr>
          <w:p>
            <w:pPr>
              <w:spacing w:after="0" w:line="269" w:lineRule="auto"/>
            </w:pPr>
            <w:r>
              <w:rPr>
                <w:rFonts w:ascii="Segoe UI" w:hAnsi="Segoe UI"/>
                <w:b w:val="0"/>
                <w:color w:val="000000"/>
                <w:sz w:val="19"/>
              </w:rPr>
              <w:t>MUS40M-G</w:t>
            </w:r>
          </w:p>
        </w:tc>
        <w:tc>
          <w:tcPr>
            <w:tcW w:type="dxa" w:w="3096"/>
            <w:vAlign w:val="center"/>
            <w:shd w:fill="F3F6F6"/>
          </w:tcPr>
          <w:p>
            <w:pPr>
              <w:spacing w:after="0" w:line="269" w:lineRule="auto"/>
            </w:pPr>
            <w:r>
              <w:rPr>
                <w:rFonts w:ascii="Segoe UI" w:hAnsi="Segoe UI"/>
                <w:b w:val="0"/>
                <w:color w:val="000000"/>
                <w:sz w:val="19"/>
              </w:rPr>
              <w:t>Windows PC</w:t>
            </w:r>
          </w:p>
        </w:tc>
        <w:tc>
          <w:tcPr>
            <w:tcW w:type="dxa" w:w="3888"/>
            <w:vAlign w:val="center"/>
            <w:shd w:fill="F3F6F6"/>
          </w:tcPr>
          <w:p>
            <w:pPr>
              <w:spacing w:after="0" w:line="269" w:lineRule="auto"/>
            </w:pPr>
            <w:r>
              <w:rPr>
                <w:rFonts w:ascii="Segoe UI" w:hAnsi="Segoe UI"/>
                <w:b w:val="0"/>
                <w:color w:val="000000"/>
                <w:sz w:val="19"/>
              </w:rPr>
              <w:t>USB; supplier camera driver</w:t>
            </w:r>
          </w:p>
        </w:tc>
      </w:tr>
      <w:tr>
        <w:trPr>
          <w:cantSplit/>
        </w:trPr>
        <w:tc>
          <w:tcPr>
            <w:tcW w:type="dxa" w:w="2808"/>
            <w:vAlign w:val="center"/>
            <w:shd w:fill="FFFFFF"/>
          </w:tcPr>
          <w:p>
            <w:pPr>
              <w:spacing w:after="0" w:line="269" w:lineRule="auto"/>
            </w:pPr>
            <w:r>
              <w:rPr>
                <w:rFonts w:ascii="Segoe UI" w:hAnsi="Segoe UI"/>
                <w:b w:val="0"/>
                <w:color w:val="000000"/>
                <w:sz w:val="19"/>
              </w:rPr>
              <w:t>LSP02-3B pin 5</w:t>
            </w:r>
          </w:p>
        </w:tc>
        <w:tc>
          <w:tcPr>
            <w:tcW w:type="dxa" w:w="3096"/>
            <w:vAlign w:val="center"/>
            <w:shd w:fill="FFFFFF"/>
          </w:tcPr>
          <w:p>
            <w:pPr>
              <w:spacing w:after="0" w:line="269" w:lineRule="auto"/>
            </w:pPr>
            <w:r>
              <w:rPr>
                <w:rFonts w:ascii="Segoe UI" w:hAnsi="Segoe UI"/>
                <w:b w:val="0"/>
                <w:color w:val="000000"/>
                <w:sz w:val="19"/>
              </w:rPr>
              <w:t>RS485 adapter A</w:t>
            </w:r>
          </w:p>
        </w:tc>
        <w:tc>
          <w:tcPr>
            <w:tcW w:type="dxa" w:w="3888"/>
            <w:vAlign w:val="center"/>
            <w:shd w:fill="FFFFFF"/>
          </w:tcPr>
          <w:p>
            <w:pPr>
              <w:spacing w:after="0" w:line="269" w:lineRule="auto"/>
            </w:pPr>
            <w:r>
              <w:rPr>
                <w:rFonts w:ascii="Segoe UI" w:hAnsi="Segoe UI"/>
                <w:b w:val="0"/>
                <w:color w:val="000000"/>
                <w:sz w:val="19"/>
              </w:rPr>
              <w:t>Pump communication connector</w:t>
            </w:r>
          </w:p>
        </w:tc>
      </w:tr>
      <w:tr>
        <w:trPr>
          <w:cantSplit/>
        </w:trPr>
        <w:tc>
          <w:tcPr>
            <w:tcW w:type="dxa" w:w="2808"/>
            <w:vAlign w:val="center"/>
            <w:shd w:fill="F3F6F6"/>
          </w:tcPr>
          <w:p>
            <w:pPr>
              <w:spacing w:after="0" w:line="269" w:lineRule="auto"/>
            </w:pPr>
            <w:r>
              <w:rPr>
                <w:rFonts w:ascii="Segoe UI" w:hAnsi="Segoe UI"/>
                <w:b w:val="0"/>
                <w:color w:val="000000"/>
                <w:sz w:val="19"/>
              </w:rPr>
              <w:t>LSP02-3B pin 4</w:t>
            </w:r>
          </w:p>
        </w:tc>
        <w:tc>
          <w:tcPr>
            <w:tcW w:type="dxa" w:w="3096"/>
            <w:vAlign w:val="center"/>
            <w:shd w:fill="F3F6F6"/>
          </w:tcPr>
          <w:p>
            <w:pPr>
              <w:spacing w:after="0" w:line="269" w:lineRule="auto"/>
            </w:pPr>
            <w:r>
              <w:rPr>
                <w:rFonts w:ascii="Segoe UI" w:hAnsi="Segoe UI"/>
                <w:b w:val="0"/>
                <w:color w:val="000000"/>
                <w:sz w:val="19"/>
              </w:rPr>
              <w:t>RS485 adapter B</w:t>
            </w:r>
          </w:p>
        </w:tc>
        <w:tc>
          <w:tcPr>
            <w:tcW w:type="dxa" w:w="3888"/>
            <w:vAlign w:val="center"/>
            <w:shd w:fill="F3F6F6"/>
          </w:tcPr>
          <w:p>
            <w:pPr>
              <w:spacing w:after="0" w:line="269" w:lineRule="auto"/>
            </w:pPr>
            <w:r>
              <w:rPr>
                <w:rFonts w:ascii="Segoe UI" w:hAnsi="Segoe UI"/>
                <w:b w:val="0"/>
                <w:color w:val="000000"/>
                <w:sz w:val="19"/>
              </w:rPr>
              <w:t>Pump communication connector</w:t>
            </w:r>
          </w:p>
        </w:tc>
      </w:tr>
      <w:tr>
        <w:trPr>
          <w:cantSplit/>
        </w:trPr>
        <w:tc>
          <w:tcPr>
            <w:tcW w:type="dxa" w:w="2808"/>
            <w:vAlign w:val="center"/>
            <w:shd w:fill="FFFFFF"/>
          </w:tcPr>
          <w:p>
            <w:pPr>
              <w:spacing w:after="0" w:line="269" w:lineRule="auto"/>
            </w:pPr>
            <w:r>
              <w:rPr>
                <w:rFonts w:ascii="Segoe UI" w:hAnsi="Segoe UI"/>
                <w:b w:val="0"/>
                <w:color w:val="000000"/>
                <w:sz w:val="19"/>
              </w:rPr>
              <w:t>LSP02-3B pin 3</w:t>
            </w:r>
          </w:p>
        </w:tc>
        <w:tc>
          <w:tcPr>
            <w:tcW w:type="dxa" w:w="3096"/>
            <w:vAlign w:val="center"/>
            <w:shd w:fill="FFFFFF"/>
          </w:tcPr>
          <w:p>
            <w:pPr>
              <w:spacing w:after="0" w:line="269" w:lineRule="auto"/>
            </w:pPr>
            <w:r>
              <w:rPr>
                <w:rFonts w:ascii="Segoe UI" w:hAnsi="Segoe UI"/>
                <w:b w:val="0"/>
                <w:color w:val="000000"/>
                <w:sz w:val="19"/>
              </w:rPr>
              <w:t>Adapter reference ground</w:t>
            </w:r>
          </w:p>
        </w:tc>
        <w:tc>
          <w:tcPr>
            <w:tcW w:type="dxa" w:w="3888"/>
            <w:vAlign w:val="center"/>
            <w:shd w:fill="FFFFFF"/>
          </w:tcPr>
          <w:p>
            <w:pPr>
              <w:spacing w:after="0" w:line="269" w:lineRule="auto"/>
            </w:pPr>
            <w:r>
              <w:rPr>
                <w:rFonts w:ascii="Segoe UI" w:hAnsi="Segoe UI"/>
                <w:b w:val="0"/>
                <w:color w:val="000000"/>
                <w:sz w:val="19"/>
              </w:rPr>
              <w:t>Check connector viewing orientation in the pump manual</w:t>
            </w:r>
          </w:p>
        </w:tc>
      </w:tr>
      <w:tr>
        <w:trPr>
          <w:cantSplit/>
        </w:trPr>
        <w:tc>
          <w:tcPr>
            <w:tcW w:type="dxa" w:w="2808"/>
            <w:vAlign w:val="center"/>
            <w:shd w:fill="F3F6F6"/>
          </w:tcPr>
          <w:p>
            <w:pPr>
              <w:spacing w:after="0" w:line="269" w:lineRule="auto"/>
            </w:pPr>
            <w:r>
              <w:rPr>
                <w:rFonts w:ascii="Segoe UI" w:hAnsi="Segoe UI"/>
                <w:b w:val="0"/>
                <w:color w:val="000000"/>
                <w:sz w:val="19"/>
              </w:rPr>
              <w:t>PYNQ Ethernet</w:t>
            </w:r>
          </w:p>
        </w:tc>
        <w:tc>
          <w:tcPr>
            <w:tcW w:type="dxa" w:w="3096"/>
            <w:vAlign w:val="center"/>
            <w:shd w:fill="F3F6F6"/>
          </w:tcPr>
          <w:p>
            <w:pPr>
              <w:spacing w:after="0" w:line="269" w:lineRule="auto"/>
            </w:pPr>
            <w:r>
              <w:rPr>
                <w:rFonts w:ascii="Segoe UI" w:hAnsi="Segoe UI"/>
                <w:b w:val="0"/>
                <w:color w:val="000000"/>
                <w:sz w:val="19"/>
              </w:rPr>
              <w:t>PC or laboratory switch</w:t>
            </w:r>
          </w:p>
        </w:tc>
        <w:tc>
          <w:tcPr>
            <w:tcW w:type="dxa" w:w="3888"/>
            <w:vAlign w:val="center"/>
            <w:shd w:fill="F3F6F6"/>
          </w:tcPr>
          <w:p>
            <w:pPr>
              <w:spacing w:after="0" w:line="269" w:lineRule="auto"/>
            </w:pPr>
            <w:r>
              <w:rPr>
                <w:rFonts w:ascii="Segoe UI" w:hAnsi="Segoe UI"/>
                <w:b w:val="0"/>
                <w:color w:val="000000"/>
                <w:sz w:val="19"/>
              </w:rPr>
              <w:t>Same reachable IP subnet</w:t>
            </w:r>
          </w:p>
        </w:tc>
      </w:tr>
      <w:tr>
        <w:trPr>
          <w:cantSplit/>
        </w:trPr>
        <w:tc>
          <w:tcPr>
            <w:tcW w:type="dxa" w:w="2808"/>
            <w:vAlign w:val="center"/>
            <w:shd w:fill="FFFFFF"/>
          </w:tcPr>
          <w:p>
            <w:pPr>
              <w:spacing w:after="0" w:line="269" w:lineRule="auto"/>
            </w:pPr>
            <w:r>
              <w:rPr>
                <w:rFonts w:ascii="Segoe UI" w:hAnsi="Segoe UI"/>
                <w:b w:val="0"/>
                <w:color w:val="000000"/>
                <w:sz w:val="19"/>
              </w:rPr>
              <w:t>PMOD B pin 1</w:t>
            </w:r>
          </w:p>
        </w:tc>
        <w:tc>
          <w:tcPr>
            <w:tcW w:type="dxa" w:w="3096"/>
            <w:vAlign w:val="center"/>
            <w:shd w:fill="FFFFFF"/>
          </w:tcPr>
          <w:p>
            <w:pPr>
              <w:spacing w:after="0" w:line="269" w:lineRule="auto"/>
            </w:pPr>
            <w:r>
              <w:rPr>
                <w:rFonts w:ascii="Segoe UI" w:hAnsi="Segoe UI"/>
                <w:b w:val="0"/>
                <w:color w:val="000000"/>
                <w:sz w:val="19"/>
              </w:rPr>
              <w:t>DG1022Z external trigger</w:t>
            </w:r>
          </w:p>
        </w:tc>
        <w:tc>
          <w:tcPr>
            <w:tcW w:type="dxa" w:w="3888"/>
            <w:vAlign w:val="center"/>
            <w:shd w:fill="FFFFFF"/>
          </w:tcPr>
          <w:p>
            <w:pPr>
              <w:spacing w:after="0" w:line="269" w:lineRule="auto"/>
            </w:pPr>
            <w:r>
              <w:rPr>
                <w:rFonts w:ascii="Segoe UI" w:hAnsi="Segoe UI"/>
                <w:b w:val="0"/>
                <w:color w:val="000000"/>
                <w:sz w:val="19"/>
              </w:rPr>
              <w:t>GATE; 0 or 3.3 V logic</w:t>
            </w:r>
          </w:p>
        </w:tc>
      </w:tr>
      <w:tr>
        <w:trPr>
          <w:cantSplit/>
        </w:trPr>
        <w:tc>
          <w:tcPr>
            <w:tcW w:type="dxa" w:w="2808"/>
            <w:vAlign w:val="center"/>
            <w:shd w:fill="F3F6F6"/>
          </w:tcPr>
          <w:p>
            <w:pPr>
              <w:spacing w:after="0" w:line="269" w:lineRule="auto"/>
            </w:pPr>
            <w:r>
              <w:rPr>
                <w:rFonts w:ascii="Segoe UI" w:hAnsi="Segoe UI"/>
                <w:b w:val="0"/>
                <w:color w:val="000000"/>
                <w:sz w:val="19"/>
              </w:rPr>
              <w:t>PMOD B pin 5 or 11</w:t>
            </w:r>
          </w:p>
        </w:tc>
        <w:tc>
          <w:tcPr>
            <w:tcW w:type="dxa" w:w="3096"/>
            <w:vAlign w:val="center"/>
            <w:shd w:fill="F3F6F6"/>
          </w:tcPr>
          <w:p>
            <w:pPr>
              <w:spacing w:after="0" w:line="269" w:lineRule="auto"/>
            </w:pPr>
            <w:r>
              <w:rPr>
                <w:rFonts w:ascii="Segoe UI" w:hAnsi="Segoe UI"/>
                <w:b w:val="0"/>
                <w:color w:val="000000"/>
                <w:sz w:val="19"/>
              </w:rPr>
              <w:t>Trigger reference ground</w:t>
            </w:r>
          </w:p>
        </w:tc>
        <w:tc>
          <w:tcPr>
            <w:tcW w:type="dxa" w:w="3888"/>
            <w:vAlign w:val="center"/>
            <w:shd w:fill="F3F6F6"/>
          </w:tcPr>
          <w:p>
            <w:pPr>
              <w:spacing w:after="0" w:line="269" w:lineRule="auto"/>
            </w:pPr>
            <w:r>
              <w:rPr>
                <w:rFonts w:ascii="Segoe UI" w:hAnsi="Segoe UI"/>
                <w:b w:val="0"/>
                <w:color w:val="000000"/>
                <w:sz w:val="19"/>
              </w:rPr>
              <w:t>Low-voltage signal reference</w:t>
            </w:r>
          </w:p>
        </w:tc>
      </w:tr>
      <w:tr>
        <w:trPr>
          <w:cantSplit/>
        </w:trPr>
        <w:tc>
          <w:tcPr>
            <w:tcW w:type="dxa" w:w="2808"/>
            <w:vAlign w:val="center"/>
            <w:shd w:fill="FFFFFF"/>
          </w:tcPr>
          <w:p>
            <w:pPr>
              <w:spacing w:after="0" w:line="269" w:lineRule="auto"/>
            </w:pPr>
            <w:r>
              <w:rPr>
                <w:rFonts w:ascii="Segoe UI" w:hAnsi="Segoe UI"/>
                <w:b w:val="0"/>
                <w:color w:val="000000"/>
                <w:sz w:val="19"/>
              </w:rPr>
              <w:t>DG1022Z output</w:t>
            </w:r>
          </w:p>
        </w:tc>
        <w:tc>
          <w:tcPr>
            <w:tcW w:type="dxa" w:w="3096"/>
            <w:vAlign w:val="center"/>
            <w:shd w:fill="FFFFFF"/>
          </w:tcPr>
          <w:p>
            <w:pPr>
              <w:spacing w:after="0" w:line="269" w:lineRule="auto"/>
            </w:pPr>
            <w:r>
              <w:rPr>
                <w:rFonts w:ascii="Segoe UI" w:hAnsi="Segoe UI"/>
                <w:b w:val="0"/>
                <w:color w:val="000000"/>
                <w:sz w:val="19"/>
              </w:rPr>
              <w:t>ATA-2081 input</w:t>
            </w:r>
          </w:p>
        </w:tc>
        <w:tc>
          <w:tcPr>
            <w:tcW w:type="dxa" w:w="3888"/>
            <w:vAlign w:val="center"/>
            <w:shd w:fill="FFFFFF"/>
          </w:tcPr>
          <w:p>
            <w:pPr>
              <w:spacing w:after="0" w:line="269" w:lineRule="auto"/>
            </w:pPr>
            <w:r>
              <w:rPr>
                <w:rFonts w:ascii="Segoe UI" w:hAnsi="Segoe UI"/>
                <w:b w:val="0"/>
                <w:color w:val="000000"/>
                <w:sz w:val="19"/>
              </w:rPr>
              <w:t>BNC cable; configure before enabling output</w:t>
            </w:r>
          </w:p>
        </w:tc>
      </w:tr>
      <w:tr>
        <w:trPr>
          <w:cantSplit/>
        </w:trPr>
        <w:tc>
          <w:tcPr>
            <w:tcW w:type="dxa" w:w="2808"/>
            <w:vAlign w:val="center"/>
            <w:shd w:fill="F3F6F6"/>
          </w:tcPr>
          <w:p>
            <w:pPr>
              <w:spacing w:after="0" w:line="269" w:lineRule="auto"/>
            </w:pPr>
            <w:r>
              <w:rPr>
                <w:rFonts w:ascii="Segoe UI" w:hAnsi="Segoe UI"/>
                <w:b w:val="0"/>
                <w:color w:val="000000"/>
                <w:sz w:val="19"/>
              </w:rPr>
              <w:t>ATA-2081 HV output</w:t>
            </w:r>
          </w:p>
        </w:tc>
        <w:tc>
          <w:tcPr>
            <w:tcW w:type="dxa" w:w="3096"/>
            <w:vAlign w:val="center"/>
            <w:shd w:fill="F3F6F6"/>
          </w:tcPr>
          <w:p>
            <w:pPr>
              <w:spacing w:after="0" w:line="269" w:lineRule="auto"/>
            </w:pPr>
            <w:r>
              <w:rPr>
                <w:rFonts w:ascii="Segoe UI" w:hAnsi="Segoe UI"/>
                <w:b w:val="0"/>
                <w:color w:val="000000"/>
                <w:sz w:val="19"/>
              </w:rPr>
              <w:t>Sorting electrodes</w:t>
            </w:r>
          </w:p>
        </w:tc>
        <w:tc>
          <w:tcPr>
            <w:tcW w:type="dxa" w:w="3888"/>
            <w:vAlign w:val="center"/>
            <w:shd w:fill="F3F6F6"/>
          </w:tcPr>
          <w:p>
            <w:pPr>
              <w:spacing w:after="0" w:line="269" w:lineRule="auto"/>
            </w:pPr>
            <w:r>
              <w:rPr>
                <w:rFonts w:ascii="Segoe UI" w:hAnsi="Segoe UI"/>
                <w:b w:val="0"/>
                <w:color w:val="000000"/>
                <w:sz w:val="19"/>
              </w:rPr>
              <w:t>Rated leads and guarded contacts; drive disabled while wiring</w:t>
            </w:r>
          </w:p>
        </w:tc>
      </w:tr>
    </w:tbl>
    <w:p>
      <w:pPr>
        <w:spacing w:after="20" w:before="0" w:line="60" w:lineRule="exact"/>
      </w:pPr>
    </w:p>
    <w:p>
      <w:pPr>
        <w:pStyle w:val="Heading2"/>
      </w:pPr>
      <w:r>
        <w:rPr>
          <w:rFonts w:ascii="Segoe UI" w:hAnsi="Segoe UI"/>
        </w:rPr>
        <w:t>Power and grounding</w:t>
      </w:r>
    </w:p>
    <w:p>
      <w:r>
        <w:rPr>
          <w:rFonts w:ascii="Segoe UI" w:hAnsi="Segoe UI"/>
        </w:rPr>
        <w:t>Use each instrument's specified supply and the PYNQ board's documented power-source selection. The H10682 requires its specified +5 V supply and completed light shielding. Verify protective earth and signal references against the instrument manuals. Never connect a high-voltage electrode or 5 V signal to a PMOD pin.</w:t>
      </w:r>
    </w:p>
    <w:p>
      <w:pPr>
        <w:pStyle w:val="Heading2"/>
      </w:pPr>
      <w:r>
        <w:rPr>
          <w:rFonts w:ascii="Segoe UI" w:hAnsi="Segoe UI"/>
        </w:rPr>
        <w:t>Scope access</w:t>
      </w:r>
    </w:p>
    <w:p>
      <w:r>
        <w:rPr>
          <w:rFonts w:ascii="Segoe UI" w:hAnsi="Segoe UI"/>
        </w:rPr>
        <w:t>For initial checks, connect PMOD B pin 1 to a low-voltage scope input instead of the generator. Pin 2 is RX_MARK, an optional V7 processing marker. Use pin 5 or 11 as the low-voltage reference. Keep scope ground clips away from the high-voltage output.</w:t>
      </w:r>
    </w:p>
    <w:p>
      <w:pPr>
        <w:pageBreakBefore/>
        <w:spacing w:after="100"/>
      </w:pPr>
      <w:r>
        <w:rPr>
          <w:rFonts w:ascii="Segoe UI" w:hAnsi="Segoe UI"/>
          <w:b/>
          <w:sz w:val="18"/>
        </w:rPr>
        <w:t>INSTALL</w:t>
      </w:r>
    </w:p>
    <w:p>
      <w:pPr>
        <w:pStyle w:val="Heading1"/>
      </w:pPr>
      <w:r>
        <w:rPr>
          <w:rFonts w:ascii="Segoe UI" w:hAnsi="Segoe UI"/>
        </w:rPr>
        <w:t>07 Install the Windows tools</w:t>
      </w:r>
    </w:p>
    <w:p>
      <w:pPr>
        <w:ind w:left="360" w:hanging="360"/>
      </w:pPr>
      <w:r>
        <w:rPr>
          <w:rFonts w:ascii="Segoe UI" w:hAnsi="Segoe UI"/>
          <w:b/>
        </w:rPr>
        <w:t xml:space="preserve">1. </w:t>
      </w:r>
      <w:r>
        <w:rPr>
          <w:rFonts w:ascii="Segoe UI" w:hAnsi="Segoe UI"/>
        </w:rPr>
        <w:t>Extract the Windows release into a writable folder. Open Software/PC_Control/TotalControl_V7_0 and keep its directory structure intact. The main application is x64; the CH297 bridge is x86.</w:t>
      </w:r>
    </w:p>
    <w:p>
      <w:pPr>
        <w:ind w:left="360" w:hanging="360"/>
      </w:pPr>
      <w:r>
        <w:rPr>
          <w:rFonts w:ascii="Segoe UI" w:hAnsi="Segoe UI"/>
          <w:b/>
        </w:rPr>
        <w:t xml:space="preserve">2. </w:t>
      </w:r>
      <w:r>
        <w:rPr>
          <w:rFonts w:ascii="Segoe UI" w:hAnsi="Segoe UI"/>
        </w:rPr>
        <w:t>Install .NET Framework 4.8 or 4.8.1 and the complete x64 OsCam SDK and driver. Confirm the camera opens in OsCam, then close OsCam before connecting from Total Control.</w:t>
      </w:r>
    </w:p>
    <w:p>
      <w:pPr>
        <w:ind w:left="360" w:hanging="360"/>
      </w:pPr>
      <w:r>
        <w:rPr>
          <w:rFonts w:ascii="Segoe UI" w:hAnsi="Segoe UI"/>
          <w:b/>
        </w:rPr>
        <w:t xml:space="preserve">3. </w:t>
      </w:r>
      <w:r>
        <w:rPr>
          <w:rFonts w:ascii="Segoe UI" w:hAnsi="Segoe UI"/>
        </w:rPr>
        <w:t>Install the CH297 driver. Obtain the matching PMTCount.dll and instrument-specific para.ini from the supplier package, and place them under runtime/ch297 beside the bridge EXE. Retain the supplied detector calibration values.</w:t>
      </w:r>
    </w:p>
    <w:p>
      <w:pPr>
        <w:ind w:left="360" w:hanging="360"/>
      </w:pPr>
      <w:r>
        <w:rPr>
          <w:rFonts w:ascii="Segoe UI" w:hAnsi="Segoe UI"/>
          <w:b/>
        </w:rPr>
        <w:t xml:space="preserve">4. </w:t>
      </w:r>
      <w:r>
        <w:rPr>
          <w:rFonts w:ascii="Segoe UI" w:hAnsi="Segoe UI"/>
        </w:rPr>
        <w:t>Complete the supplier's x86 COM registration. If PMTCount.PMTCounter is not registered, run 05_REGISTER_CH297_DLL_ADMIN.cmd as Administrator and confirm its prompt. It invokes the 32-bit Windows registration tool.</w:t>
      </w:r>
    </w:p>
    <w:p>
      <w:pPr>
        <w:ind w:left="360" w:hanging="360"/>
      </w:pPr>
      <w:r>
        <w:rPr>
          <w:rFonts w:ascii="Segoe UI" w:hAnsi="Segoe UI"/>
          <w:b/>
        </w:rPr>
        <w:t xml:space="preserve">5. </w:t>
      </w:r>
      <w:r>
        <w:rPr>
          <w:rFonts w:ascii="Segoe UI" w:hAnsi="Segoe UI"/>
        </w:rPr>
        <w:t>Run 04_CHECK_ENVIRONMENT.cmd. Complete its installation actions and rerun the check. It reads files and registration without connecting instruments.</w:t>
      </w:r>
    </w:p>
    <w:p>
      <w:pPr>
        <w:ind w:left="360" w:hanging="360"/>
      </w:pPr>
      <w:r>
        <w:rPr>
          <w:rFonts w:ascii="Segoe UI" w:hAnsi="Segoe UI"/>
          <w:b/>
        </w:rPr>
        <w:t xml:space="preserve">6. </w:t>
      </w:r>
      <w:r>
        <w:rPr>
          <w:rFonts w:ascii="Segoe UI" w:hAnsi="Segoe UI"/>
        </w:rPr>
        <w:t>Run 06_LIST_SERIAL_DEVICES.cmd and identify the CH297 and USB-RS485 ports. Launch 02_RUN_TOTAL_CONTROL_V7_0.cmd. Enter the actual ports in the corresponding modules.</w:t>
      </w:r>
    </w:p>
    <w:p>
      <w:pPr>
        <w:pStyle w:val="Heading2"/>
      </w:pPr>
      <w:r>
        <w:rPr>
          <w:rFonts w:ascii="Segoe UI" w:hAnsi="Segoe UI"/>
        </w:rPr>
        <w:t>Camera SDK in a custom folder</w:t>
      </w:r>
    </w:p>
    <w:p>
      <w:r>
        <w:rPr>
          <w:rFonts w:ascii="Segoe UI" w:hAnsi="Segoe UI"/>
        </w:rPr>
        <w:t>The application searches NEFU_OSCAM_DIR, standard OsCam folders and its own folder. For a custom SDK location, set NEFU_OSCAM_DIR to the absolute folder containing OEApi64.dll and its complete matching dependency set, then restart Total Control.</w:t>
      </w:r>
    </w:p>
    <w:p>
      <w:pPr>
        <w:pStyle w:val="Heading2"/>
      </w:pPr>
      <w:r>
        <w:rPr>
          <w:rFonts w:ascii="Segoe UI" w:hAnsi="Segoe UI"/>
        </w:rPr>
        <w:t>Build the same program from source</w:t>
      </w:r>
    </w:p>
    <w:p>
      <w:pPr>
        <w:spacing w:before="60" w:after="180" w:line="252" w:lineRule="auto"/>
        <w:ind w:left="230"/>
      </w:pPr>
      <w:r>
        <w:rPr>
          <w:rFonts w:ascii="Consolas" w:hAnsi="Consolas"/>
          <w:sz w:val="18"/>
        </w:rPr>
        <w:t>00_BUILD_TOTAL_CONTROL_V7_0_PERF.cmd --no-pause</w:t>
      </w:r>
    </w:p>
    <w:p>
      <w:r>
        <w:rPr>
          <w:rFonts w:ascii="Segoe UI" w:hAnsi="Segoe UI"/>
        </w:rPr>
        <w:t>The build produces the main EXE and runtime/ch297/NEFU_CH297_Bridge_V6_3_x86.exe. NEFU_China_iDEC_V7.sln provides the equivalent Visual Studio projects; BUILDING.md lists prerequisites. Supplier SDKs are installed separately.</w:t>
      </w:r>
    </w:p>
    <w:p>
      <w:pPr>
        <w:pageBreakBefore/>
        <w:spacing w:after="100"/>
      </w:pPr>
      <w:r>
        <w:rPr>
          <w:rFonts w:ascii="Segoe UI" w:hAnsi="Segoe UI"/>
          <w:b/>
          <w:sz w:val="18"/>
        </w:rPr>
        <w:t>INSTALL</w:t>
      </w:r>
    </w:p>
    <w:p>
      <w:pPr>
        <w:pStyle w:val="Heading1"/>
      </w:pPr>
      <w:r>
        <w:rPr>
          <w:rFonts w:ascii="Segoe UI" w:hAnsi="Segoe UI"/>
        </w:rPr>
        <w:t>08 Start the PYNQ service</w:t>
      </w:r>
    </w:p>
    <w:p>
      <w:pPr>
        <w:pStyle w:val="Heading2"/>
      </w:pPr>
      <w:r>
        <w:rPr>
          <w:rFonts w:ascii="Segoe UI" w:hAnsi="Segoe UI"/>
        </w:rPr>
        <w:t>Prepare the board and network</w:t>
      </w:r>
    </w:p>
    <w:p>
      <w:pPr>
        <w:ind w:left="360" w:hanging="360"/>
      </w:pPr>
      <w:r>
        <w:rPr>
          <w:rFonts w:ascii="Segoe UI" w:hAnsi="Segoe UI"/>
          <w:b/>
        </w:rPr>
        <w:t xml:space="preserve">1. </w:t>
      </w:r>
      <w:r>
        <w:rPr>
          <w:rFonts w:ascii="Segoe UI" w:hAnsi="Segoe UI"/>
        </w:rPr>
        <w:t>Prepare a microSD card with a PYNQ-Z2 image providing Python 3.7 or later, pynq and BaseOverlay with base.bit. Select boot and power settings according to the image and board manual, then boot the board.</w:t>
      </w:r>
    </w:p>
    <w:p>
      <w:pPr>
        <w:ind w:left="360" w:hanging="360"/>
      </w:pPr>
      <w:r>
        <w:rPr>
          <w:rFonts w:ascii="Segoe UI" w:hAnsi="Segoe UI"/>
          <w:b/>
        </w:rPr>
        <w:t xml:space="preserve">2. </w:t>
      </w:r>
      <w:r>
        <w:rPr>
          <w:rFonts w:ascii="Segoe UI" w:hAnsi="Segoe UI"/>
        </w:rPr>
        <w:t>Connect Ethernet and identify the board address. Put the PC on the same reachable subnet. The reference board address is 192.168.2.99; on an isolated 192.168.2.0/24 link, an unused PC address such as 192.168.2.10 with mask 255.255.255.0 is suitable. Avoid address conflicts.</w:t>
      </w:r>
    </w:p>
    <w:p>
      <w:pPr>
        <w:ind w:left="360" w:hanging="360"/>
      </w:pPr>
      <w:r>
        <w:rPr>
          <w:rFonts w:ascii="Segoe UI" w:hAnsi="Segoe UI"/>
          <w:b/>
        </w:rPr>
        <w:t xml:space="preserve">3. </w:t>
      </w:r>
      <w:r>
        <w:rPr>
          <w:rFonts w:ascii="Segoe UI" w:hAnsi="Segoe UI"/>
        </w:rPr>
        <w:t>Open the board's Jupyter interface using the image's documented address and credentials. Create NEFU_iDEC under jupyter_notebooks and upload Software/PYNQ/pynq_v6_perf_server.py.</w:t>
      </w:r>
    </w:p>
    <w:p>
      <w:pPr>
        <w:ind w:left="360" w:hanging="360"/>
      </w:pPr>
      <w:r>
        <w:rPr>
          <w:rFonts w:ascii="Segoe UI" w:hAnsi="Segoe UI"/>
          <w:b/>
        </w:rPr>
        <w:t xml:space="preserve">4. </w:t>
      </w:r>
      <w:r>
        <w:rPr>
          <w:rFonts w:ascii="Segoe UI" w:hAnsi="Segoe UI"/>
        </w:rPr>
        <w:t>Keep the amplifier disabled. Stop any previous gate server normally so only one process owns TCP port 5000.</w:t>
      </w:r>
    </w:p>
    <w:p>
      <w:pPr>
        <w:pStyle w:val="Heading2"/>
      </w:pPr>
      <w:r>
        <w:rPr>
          <w:rFonts w:ascii="Segoe UI" w:hAnsi="Segoe UI"/>
        </w:rPr>
        <w:t>Run in a board terminal</w:t>
      </w:r>
    </w:p>
    <w:p>
      <w:pPr>
        <w:spacing w:before="60" w:after="180" w:line="252" w:lineRule="auto"/>
        <w:ind w:left="230"/>
      </w:pPr>
      <w:r>
        <w:rPr>
          <w:rFonts w:ascii="Consolas" w:hAnsi="Consolas"/>
          <w:sz w:val="18"/>
        </w:rPr>
        <w:t>cd /home/xilinx/jupyter_notebooks/NEFU_iDEC</w:t>
        <w:br/>
        <w:t>python3 pynq_v6_perf_server.py</w:t>
      </w:r>
    </w:p>
    <w:p>
      <w:r>
        <w:rPr>
          <w:rFonts w:ascii="Segoe UI" w:hAnsi="Segoe UI"/>
        </w:rPr>
        <w:t>Keep the terminal open. Successful startup prints Listening on 0.0.0.0:5000. Enter the actual board address and port 5000 in the Windows PYNQ module, then select Connect. The gate starts LOW and LED0 is off.</w:t>
      </w:r>
    </w:p>
    <w:p>
      <w:pPr>
        <w:pStyle w:val="Heading2"/>
      </w:pPr>
      <w:r>
        <w:rPr>
          <w:rFonts w:ascii="Segoe UI" w:hAnsi="Segoe UI"/>
        </w:rPr>
        <w:t>Service operation</w:t>
      </w:r>
    </w:p>
    <w:p>
      <w:r>
        <w:rPr>
          <w:rFonts w:ascii="Segoe UI" w:hAnsi="Segoe UI"/>
        </w:rPr>
        <w:t>This service uses PYNQ_PERF_V1 samples and PYNQ_ACK_V1 acknowledgements. It loads the standard BaseOverlay; no custom project bitstream is required. Keep the control link on a trusted laboratory network.</w:t>
      </w:r>
    </w:p>
    <w:p>
      <w:r>
        <w:rPr>
          <w:rFonts w:ascii="Segoe UI" w:hAnsi="Segoe UI"/>
        </w:rPr>
        <w:t>To stop, request Force LOW from Windows, disable the amplifier and use Ctrl+C in the board terminal. If port 5000 is occupied, close the previous server normally before restarting. Where the earlier nefu-idec-gate.service was installed, stop it with sudo systemctl stop nefu-idec-gate.service.</w:t>
      </w:r>
    </w:p>
    <w:p>
      <w:pPr>
        <w:pageBreakBefore/>
        <w:spacing w:after="100"/>
      </w:pPr>
      <w:r>
        <w:rPr>
          <w:rFonts w:ascii="Segoe UI" w:hAnsi="Segoe UI"/>
          <w:b/>
          <w:sz w:val="18"/>
        </w:rPr>
        <w:t>BRING ONLINE</w:t>
      </w:r>
    </w:p>
    <w:p>
      <w:pPr>
        <w:pStyle w:val="Heading1"/>
      </w:pPr>
      <w:r>
        <w:rPr>
          <w:rFonts w:ascii="Segoe UI" w:hAnsi="Segoe UI"/>
        </w:rPr>
        <w:t>09 Connect each device</w:t>
      </w:r>
    </w:p>
    <w:p>
      <w:pPr>
        <w:pStyle w:val="Heading2"/>
      </w:pPr>
      <w:r>
        <w:rPr>
          <w:rFonts w:ascii="Segoe UI" w:hAnsi="Segoe UI"/>
        </w:rPr>
        <w:t>Camera</w:t>
      </w:r>
    </w:p>
    <w:p>
      <w:r>
        <w:rPr>
          <w:rFonts w:ascii="Segoe UI" w:hAnsi="Segoe UI"/>
        </w:rPr>
        <w:t>Select Connect / Preview in the camera module. Focus on the channel and set exposure so droplet boundaries remain clear, then select Apply. Full camera panel opens the remaining controls. Expected observation: a live channel image responding to focus and illumination changes.</w:t>
      </w:r>
    </w:p>
    <w:p>
      <w:pPr>
        <w:pStyle w:val="Heading2"/>
      </w:pPr>
      <w:r>
        <w:rPr>
          <w:rFonts w:ascii="Segoe UI" w:hAnsi="Segoe UI"/>
        </w:rPr>
        <w:t>Photon counter</w:t>
      </w:r>
    </w:p>
    <w:p>
      <w:pPr>
        <w:ind w:left="360" w:hanging="360"/>
      </w:pPr>
      <w:r>
        <w:rPr>
          <w:rFonts w:ascii="Segoe UI" w:hAnsi="Segoe UI"/>
          <w:b/>
        </w:rPr>
        <w:t xml:space="preserve">1. </w:t>
      </w:r>
      <w:r>
        <w:rPr>
          <w:rFonts w:ascii="Segoe UI" w:hAnsi="Segoe UI"/>
        </w:rPr>
        <w:t>Complete PMT shielding and power connections. Close the supplier application and old bridge consoles so the COM port is free.</w:t>
      </w:r>
    </w:p>
    <w:p>
      <w:pPr>
        <w:ind w:left="360" w:hanging="360"/>
      </w:pPr>
      <w:r>
        <w:rPr>
          <w:rFonts w:ascii="Segoe UI" w:hAnsi="Segoe UI"/>
          <w:b/>
        </w:rPr>
        <w:t xml:space="preserve">2. </w:t>
      </w:r>
      <w:r>
        <w:rPr>
          <w:rFonts w:ascii="Segoe UI" w:hAnsi="Segoe UI"/>
        </w:rPr>
        <w:t>Select the actual CH297 port, 19200,n,8,1 and an acquisition gate in multiples of 10 ms. The distributed example is 100 ms.</w:t>
      </w:r>
    </w:p>
    <w:p>
      <w:pPr>
        <w:ind w:left="360" w:hanging="360"/>
      </w:pPr>
      <w:r>
        <w:rPr>
          <w:rFonts w:ascii="Segoe UI" w:hAnsi="Segoe UI"/>
          <w:b/>
        </w:rPr>
        <w:t xml:space="preserve">3. </w:t>
      </w:r>
      <w:r>
        <w:rPr>
          <w:rFonts w:ascii="Segoe UI" w:hAnsi="Segoe UI"/>
        </w:rPr>
        <w:t>Select Start counting. Total Control starts its x86 bridge. Confirm valid counts and the sample counter update, not just a connected label. Run only one workstation and bridge.</w:t>
      </w:r>
    </w:p>
    <w:p>
      <w:pPr>
        <w:ind w:left="360" w:hanging="360"/>
      </w:pPr>
      <w:r>
        <w:rPr>
          <w:rFonts w:ascii="Segoe UI" w:hAnsi="Segoe UI"/>
          <w:b/>
        </w:rPr>
        <w:t xml:space="preserve">4. </w:t>
      </w:r>
      <w:r>
        <w:rPr>
          <w:rFonts w:ascii="Segoe UI" w:hAnsi="Segoe UI"/>
        </w:rPr>
        <w:t>Compare the shielded dark level, background and intended fluorescent sample at the same gate duration. Set Threshold and Hysteresis for that condition and select Apply threshold.</w:t>
      </w:r>
    </w:p>
    <w:p>
      <w:pPr>
        <w:pStyle w:val="Heading2"/>
      </w:pPr>
      <w:r>
        <w:rPr>
          <w:rFonts w:ascii="Segoe UI" w:hAnsi="Segoe UI"/>
        </w:rPr>
        <w:t>PYNQ</w:t>
      </w:r>
    </w:p>
    <w:p>
      <w:r>
        <w:rPr>
          <w:rFonts w:ascii="Segoe UI" w:hAnsi="Segoe UI"/>
        </w:rPr>
        <w:t>Enter the running board's address and select Connect. Confirm GATE LOW and use Force LOW. Set the matching threshold and hysteresis, then select Apply. Leave Auto gate off until section 10's physical output check is complete.</w:t>
      </w:r>
    </w:p>
    <w:p>
      <w:pPr>
        <w:pStyle w:val="Heading2"/>
      </w:pPr>
      <w:r>
        <w:rPr>
          <w:rFonts w:ascii="Segoe UI" w:hAnsi="Segoe UI"/>
        </w:rPr>
        <w:t>Syringe pump</w:t>
      </w:r>
    </w:p>
    <w:p>
      <w:r>
        <w:rPr>
          <w:rFonts w:ascii="Segoe UI" w:hAnsi="Segoe UI"/>
        </w:rPr>
        <w:t>Select the actual USB-RS485 port, the pump's configured baud rate, Even parity, 8 data bits, 1 stop bit and address 1. V7's example uses 2400 baud. Connect / Close opens a read-only handshake; Autodetect probes the selected port if its settings are unknown.</w:t>
      </w:r>
    </w:p>
    <w:p>
      <w:r>
        <w:rPr>
          <w:rFonts w:ascii="Segoe UI" w:hAnsi="Segoe UI"/>
        </w:rPr>
        <w:t>Select the channel and Read parameters before changing it. Match syringe code, volume, time and direction to the fitted syringe. After Write parameters, read them back. Start CH1 requests channel 1 motion after confirmation; verify the pushrod. Operate channel 2 from the pump front panel: V7 keeps CH2 remote motion locked. Stop all requests a pump stop.</w:t>
      </w:r>
    </w:p>
    <w:p>
      <w:pPr>
        <w:pageBreakBefore/>
        <w:spacing w:after="100"/>
      </w:pPr>
      <w:r>
        <w:rPr>
          <w:rFonts w:ascii="Segoe UI" w:hAnsi="Segoe UI"/>
          <w:b/>
          <w:sz w:val="18"/>
        </w:rPr>
        <w:t>BRING ONLINE</w:t>
      </w:r>
    </w:p>
    <w:p>
      <w:pPr>
        <w:pStyle w:val="Heading1"/>
      </w:pPr>
      <w:r>
        <w:rPr>
          <w:rFonts w:ascii="Segoe UI" w:hAnsi="Segoe UI"/>
        </w:rPr>
        <w:t>10 Gate and DEP drive</w:t>
      </w:r>
    </w:p>
    <w:p>
      <w:pPr>
        <w:pStyle w:val="Heading2"/>
      </w:pPr>
      <w:r>
        <w:rPr>
          <w:rFonts w:ascii="Segoe UI" w:hAnsi="Segoe UI"/>
        </w:rPr>
        <w:t>Check the low-voltage gate first</w:t>
      </w:r>
    </w:p>
    <w:p>
      <w:pPr>
        <w:ind w:left="360" w:hanging="360"/>
      </w:pPr>
      <w:r>
        <w:rPr>
          <w:rFonts w:ascii="Segoe UI" w:hAnsi="Segoe UI"/>
          <w:b/>
        </w:rPr>
        <w:t xml:space="preserve">1. </w:t>
      </w:r>
      <w:r>
        <w:rPr>
          <w:rFonts w:ascii="Segoe UI" w:hAnsi="Segoe UI"/>
        </w:rPr>
        <w:t>Leave the generator, amplifier and electrodes disconnected from the gate. Connect the scope to PMOD B pin 1 and the low-voltage reference. Use a high-impedance DC input and time base suited to the pulse.</w:t>
      </w:r>
    </w:p>
    <w:p>
      <w:pPr>
        <w:ind w:left="360" w:hanging="360"/>
      </w:pPr>
      <w:r>
        <w:rPr>
          <w:rFonts w:ascii="Segoe UI" w:hAnsi="Segoe UI"/>
          <w:b/>
        </w:rPr>
        <w:t xml:space="preserve">2. </w:t>
      </w:r>
      <w:r>
        <w:rPr>
          <w:rFonts w:ascii="Segoe UI" w:hAnsi="Segoe UI"/>
        </w:rPr>
        <w:t>With the board connected, confirm idle LOW. Set the manual pulse width to 1000 ms and select Test pulse. Expect an approximately 3.3 V plateau and LED0 indication, followed by LOW.</w:t>
      </w:r>
    </w:p>
    <w:p>
      <w:pPr>
        <w:ind w:left="360" w:hanging="360"/>
      </w:pPr>
      <w:r>
        <w:rPr>
          <w:rFonts w:ascii="Segoe UI" w:hAnsi="Segoe UI"/>
          <w:b/>
        </w:rPr>
        <w:t xml:space="preserve">3. </w:t>
      </w:r>
      <w:r>
        <w:rPr>
          <w:rFonts w:ascii="Segoe UI" w:hAnsi="Segoe UI"/>
        </w:rPr>
        <w:t>Select Force LOW and confirm 0 V. An invalid count stream or interrupted communication also returns LOW; use the normal stop controls to finish operation.</w:t>
      </w:r>
    </w:p>
    <w:p>
      <w:pPr>
        <w:pStyle w:val="Heading2"/>
      </w:pPr>
      <w:r>
        <w:rPr>
          <w:rFonts w:ascii="Segoe UI" w:hAnsi="Segoe UI"/>
        </w:rPr>
        <w:t>Connect the generator and amplifier</w:t>
      </w:r>
    </w:p>
    <w:p>
      <w:pPr>
        <w:ind w:left="360" w:hanging="360"/>
      </w:pPr>
      <w:r>
        <w:rPr>
          <w:rFonts w:ascii="Segoe UI" w:hAnsi="Segoe UI"/>
          <w:b/>
        </w:rPr>
        <w:t xml:space="preserve">1. </w:t>
      </w:r>
      <w:r>
        <w:rPr>
          <w:rFonts w:ascii="Segoe UI" w:hAnsi="Segoe UI"/>
        </w:rPr>
        <w:t>With outputs disabled, connect GATE to the DG1022Z external trigger and connect their low-voltage reference. Select the external gate or trigger behavior required by the generator mode.</w:t>
      </w:r>
    </w:p>
    <w:p>
      <w:pPr>
        <w:ind w:left="360" w:hanging="360"/>
      </w:pPr>
      <w:r>
        <w:rPr>
          <w:rFonts w:ascii="Segoe UI" w:hAnsi="Segoe UI"/>
          <w:b/>
        </w:rPr>
        <w:t xml:space="preserve">2. </w:t>
      </w:r>
      <w:r>
        <w:rPr>
          <w:rFonts w:ascii="Segoe UI" w:hAnsi="Segoe UI"/>
        </w:rPr>
        <w:t>Configure an 8 kHz sine carrier. Observe the low-voltage generator output while issuing a manual gate command. Confirm that the mode produces the intended waveform and returns to its inactive state.</w:t>
      </w:r>
    </w:p>
    <w:p>
      <w:pPr>
        <w:ind w:left="360" w:hanging="360"/>
      </w:pPr>
      <w:r>
        <w:rPr>
          <w:rFonts w:ascii="Segoe UI" w:hAnsi="Segoe UI"/>
          <w:b/>
        </w:rPr>
        <w:t xml:space="preserve">3. </w:t>
      </w:r>
      <w:r>
        <w:rPr>
          <w:rFonts w:ascii="Segoe UI" w:hAnsi="Segoe UI"/>
        </w:rPr>
        <w:t>Disable outputs. Connect the generator to the ATA-2081 input and fit rated electrode leads with exposed contacts guarded. Confirm input impedance, load and grounding against the instrument manuals.</w:t>
      </w:r>
    </w:p>
    <w:p>
      <w:pPr>
        <w:ind w:left="360" w:hanging="360"/>
      </w:pPr>
      <w:r>
        <w:rPr>
          <w:rFonts w:ascii="Segoe UI" w:hAnsi="Segoe UI"/>
          <w:b/>
        </w:rPr>
        <w:t xml:space="preserve">4. </w:t>
      </w:r>
      <w:r>
        <w:rPr>
          <w:rFonts w:ascii="Segoe UI" w:hAnsi="Segoe UI"/>
        </w:rPr>
        <w:t>Use the amplifier's documented voltage-monitor connection or a correctly rated HV probe. Begin at low drive and increase only within chip and instrument ratings. The reference range of 300 to 500 Vpp at 8 kHz is an operating example, not an automatic starting value.</w:t>
      </w:r>
    </w:p>
    <w:p>
      <w:pPr>
        <w:pStyle w:val="Heading2"/>
      </w:pPr>
      <w:r>
        <w:rPr>
          <w:rFonts w:ascii="Segoe UI" w:hAnsi="Segoe UI"/>
        </w:rPr>
        <w:t>Before switching to AUTO</w:t>
      </w:r>
    </w:p>
    <w:p>
      <w:r>
        <w:rPr>
          <w:rFonts w:ascii="Segoe UI" w:hAnsi="Segoe UI"/>
        </w:rPr>
        <w:t>Confirm stable flow, current valid counts and the correct detection region. Verify the generator mode and electrode response for the selected settings before enabling the drive. Force LOW controls the digital gate; manually disable and discharge the amplifier before touching fluid fittings or electrodes.</w:t>
      </w:r>
    </w:p>
    <w:p>
      <w:pPr>
        <w:pageBreakBefore/>
        <w:spacing w:after="100"/>
      </w:pPr>
      <w:r>
        <w:rPr>
          <w:rFonts w:ascii="Segoe UI" w:hAnsi="Segoe UI"/>
          <w:b/>
          <w:sz w:val="18"/>
        </w:rPr>
        <w:t>OPERATE</w:t>
      </w:r>
    </w:p>
    <w:p>
      <w:pPr>
        <w:pStyle w:val="Heading1"/>
      </w:pPr>
      <w:r>
        <w:rPr>
          <w:rFonts w:ascii="Segoe UI" w:hAnsi="Segoe UI"/>
        </w:rPr>
        <w:t>11 First integrated run</w:t>
      </w:r>
    </w:p>
    <w:p>
      <w:pPr>
        <w:keepNext/>
        <w:spacing w:after="60"/>
        <w:jc w:val="center"/>
      </w:pPr>
      <w:r>
        <w:drawing>
          <wp:inline xmlns:a="http://schemas.openxmlformats.org/drawingml/2006/main" xmlns:pic="http://schemas.openxmlformats.org/drawingml/2006/picture">
            <wp:extent cx="6035040" cy="3771900"/>
            <wp:docPr id="5" name="Picture 5" descr="Total Control V7.0 PERF. Camera, photon counter, PYNQ and pump occupy independent modules in one workspace."/>
            <wp:cNvGraphicFramePr>
              <a:graphicFrameLocks noChangeAspect="1"/>
            </wp:cNvGraphicFramePr>
            <a:graphic>
              <a:graphicData uri="http://schemas.openxmlformats.org/drawingml/2006/picture">
                <pic:pic>
                  <pic:nvPicPr>
                    <pic:cNvPr id="0" name="control_workspace.png"/>
                    <pic:cNvPicPr/>
                  </pic:nvPicPr>
                  <pic:blipFill>
                    <a:blip r:embed="rId15"/>
                    <a:stretch>
                      <a:fillRect/>
                    </a:stretch>
                  </pic:blipFill>
                  <pic:spPr>
                    <a:xfrm>
                      <a:off x="0" y="0"/>
                      <a:ext cx="6035040" cy="3771900"/>
                    </a:xfrm>
                    <a:prstGeom prst="rect"/>
                  </pic:spPr>
                </pic:pic>
              </a:graphicData>
            </a:graphic>
          </wp:inline>
        </w:drawing>
      </w:r>
    </w:p>
    <w:p>
      <w:pPr>
        <w:pStyle w:val="Caption"/>
        <w:spacing w:after="240"/>
      </w:pPr>
      <w:r>
        <w:rPr>
          <w:rFonts w:ascii="Segoe UI" w:hAnsi="Segoe UI"/>
        </w:rPr>
        <w:t>Total Control V7.0 PERF. Camera, photon counter, PYNQ and pump occupy independent modules in one workspace.</w:t>
      </w:r>
    </w:p>
    <w:p>
      <w:pPr>
        <w:ind w:left="360" w:hanging="360"/>
      </w:pPr>
      <w:r>
        <w:rPr>
          <w:rFonts w:ascii="Segoe UI" w:hAnsi="Segoe UI"/>
          <w:b/>
        </w:rPr>
        <w:t xml:space="preserve">1. </w:t>
      </w:r>
      <w:r>
        <w:rPr>
          <w:rFonts w:ascii="Segoe UI" w:hAnsi="Segoe UI"/>
        </w:rPr>
        <w:t>Enter an experiment identifier using letters, digits, underscores or hyphens. Select the required modules and recording options.</w:t>
      </w:r>
    </w:p>
    <w:p>
      <w:pPr>
        <w:ind w:left="360" w:hanging="360"/>
      </w:pPr>
      <w:r>
        <w:rPr>
          <w:rFonts w:ascii="Segoe UI" w:hAnsi="Segoe UI"/>
          <w:b/>
        </w:rPr>
        <w:t xml:space="preserve">2. </w:t>
      </w:r>
      <w:r>
        <w:rPr>
          <w:rFonts w:ascii="Segoe UI" w:hAnsi="Segoe UI"/>
        </w:rPr>
        <w:t>Keep the pump option unselected when managing two-phase delivery from the front panel. Selecting it requests CH1 motion; it does not start both channels.</w:t>
      </w:r>
    </w:p>
    <w:p>
      <w:pPr>
        <w:ind w:left="360" w:hanging="360"/>
      </w:pPr>
      <w:r>
        <w:rPr>
          <w:rFonts w:ascii="Segoe UI" w:hAnsi="Segoe UI"/>
          <w:b/>
        </w:rPr>
        <w:t xml:space="preserve">3. </w:t>
      </w:r>
      <w:r>
        <w:rPr>
          <w:rFonts w:ascii="Segoe UI" w:hAnsi="Segoe UI"/>
        </w:rPr>
        <w:t>Establish camera preview, stable flow and valid CH297 acquisition. Connect PYNQ and apply threshold and hysteresis. Confirm the safe initial state of the DEP drive.</w:t>
      </w:r>
    </w:p>
    <w:p>
      <w:pPr>
        <w:ind w:left="360" w:hanging="360"/>
      </w:pPr>
      <w:r>
        <w:rPr>
          <w:rFonts w:ascii="Segoe UI" w:hAnsi="Segoe UI"/>
          <w:b/>
        </w:rPr>
        <w:t xml:space="preserve">4. </w:t>
      </w:r>
      <w:r>
        <w:rPr>
          <w:rFonts w:ascii="Segoe UI" w:hAnsi="Segoe UI"/>
        </w:rPr>
        <w:t>For acquisition without actuation, leave PYNQ gating unselected. For a commissioned sorting run, enable the intended drive and select PYNQ gating. Start experiment starts the selected recording and enables the selected gate mode.</w:t>
      </w:r>
    </w:p>
    <w:p>
      <w:pPr>
        <w:ind w:left="360" w:hanging="360"/>
      </w:pPr>
      <w:r>
        <w:rPr>
          <w:rFonts w:ascii="Segoe UI" w:hAnsi="Segoe UI"/>
          <w:b/>
        </w:rPr>
        <w:t xml:space="preserve">5. </w:t>
      </w:r>
      <w:r>
        <w:rPr>
          <w:rFonts w:ascii="Segoe UI" w:hAnsi="Segoe UI"/>
        </w:rPr>
        <w:t>Watch droplets, counts and gate state. Adjust operating settings from a controlled LOW state. Use Stop experiment to finish normally or SAFE STOP for immediate software stop requests.</w:t>
      </w:r>
    </w:p>
    <w:p>
      <w:r>
        <w:rPr>
          <w:rFonts w:ascii="Segoe UI" w:hAnsi="Segoe UI"/>
        </w:rPr>
        <w:t>Observe trajectories at the junction to confirm the intended collection path. A HIGH label or changing count does not establish that a droplet reached collection. Keep the amplifier's hardware stop accessible.</w:t>
      </w:r>
    </w:p>
    <w:p>
      <w:pPr>
        <w:pageBreakBefore/>
        <w:spacing w:after="100"/>
      </w:pPr>
      <w:r>
        <w:rPr>
          <w:rFonts w:ascii="Segoe UI" w:hAnsi="Segoe UI"/>
          <w:b/>
          <w:sz w:val="18"/>
        </w:rPr>
        <w:t>OPERATE</w:t>
      </w:r>
    </w:p>
    <w:p>
      <w:pPr>
        <w:pStyle w:val="Heading1"/>
      </w:pPr>
      <w:r>
        <w:rPr>
          <w:rFonts w:ascii="Segoe UI" w:hAnsi="Segoe UI"/>
        </w:rPr>
        <w:t>12 Settings and saved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520"/>
        <w:gridCol w:w="2304"/>
        <w:gridCol w:w="4968"/>
      </w:tblGrid>
      <w:tr>
        <w:trPr>
          <w:tblHeader/>
          <w:cantSplit/>
        </w:trPr>
        <w:tc>
          <w:tcPr>
            <w:tcW w:type="dxa" w:w="2520"/>
            <w:vAlign w:val="center"/>
            <w:shd w:fill="263238"/>
          </w:tcPr>
          <w:p>
            <w:pPr>
              <w:spacing w:after="0" w:line="269" w:lineRule="auto"/>
            </w:pPr>
            <w:r>
              <w:rPr>
                <w:rFonts w:ascii="Segoe UI" w:hAnsi="Segoe UI"/>
                <w:b/>
                <w:color w:val="FFFFFF"/>
                <w:sz w:val="19"/>
              </w:rPr>
              <w:t>Setting</w:t>
            </w:r>
          </w:p>
        </w:tc>
        <w:tc>
          <w:tcPr>
            <w:tcW w:type="dxa" w:w="2304"/>
            <w:vAlign w:val="center"/>
            <w:shd w:fill="263238"/>
          </w:tcPr>
          <w:p>
            <w:pPr>
              <w:spacing w:after="0" w:line="269" w:lineRule="auto"/>
            </w:pPr>
            <w:r>
              <w:rPr>
                <w:rFonts w:ascii="Segoe UI" w:hAnsi="Segoe UI"/>
                <w:b/>
                <w:color w:val="FFFFFF"/>
                <w:sz w:val="19"/>
              </w:rPr>
              <w:t>Reference</w:t>
            </w:r>
          </w:p>
        </w:tc>
        <w:tc>
          <w:tcPr>
            <w:tcW w:type="dxa" w:w="4968"/>
            <w:vAlign w:val="center"/>
            <w:shd w:fill="263238"/>
          </w:tcPr>
          <w:p>
            <w:pPr>
              <w:spacing w:after="0" w:line="269" w:lineRule="auto"/>
            </w:pPr>
            <w:r>
              <w:rPr>
                <w:rFonts w:ascii="Segoe UI" w:hAnsi="Segoe UI"/>
                <w:b/>
                <w:color w:val="FFFFFF"/>
                <w:sz w:val="19"/>
              </w:rPr>
              <w:t>Use</w:t>
            </w:r>
          </w:p>
        </w:tc>
      </w:tr>
      <w:tr>
        <w:trPr>
          <w:cantSplit/>
        </w:trPr>
        <w:tc>
          <w:tcPr>
            <w:tcW w:type="dxa" w:w="2520"/>
            <w:vAlign w:val="center"/>
            <w:shd w:fill="F3F6F6"/>
          </w:tcPr>
          <w:p>
            <w:pPr>
              <w:spacing w:after="0" w:line="269" w:lineRule="auto"/>
            </w:pPr>
            <w:r>
              <w:rPr>
                <w:rFonts w:ascii="Segoe UI" w:hAnsi="Segoe UI"/>
                <w:b w:val="0"/>
                <w:color w:val="000000"/>
                <w:sz w:val="19"/>
              </w:rPr>
              <w:t>CH297 acquisition gate</w:t>
            </w:r>
          </w:p>
        </w:tc>
        <w:tc>
          <w:tcPr>
            <w:tcW w:type="dxa" w:w="2304"/>
            <w:vAlign w:val="center"/>
            <w:shd w:fill="F3F6F6"/>
          </w:tcPr>
          <w:p>
            <w:pPr>
              <w:spacing w:after="0" w:line="269" w:lineRule="auto"/>
            </w:pPr>
            <w:r>
              <w:rPr>
                <w:rFonts w:ascii="Segoe UI" w:hAnsi="Segoe UI"/>
                <w:b w:val="0"/>
                <w:color w:val="000000"/>
                <w:sz w:val="19"/>
              </w:rPr>
              <w:t>100 ms example</w:t>
            </w:r>
          </w:p>
        </w:tc>
        <w:tc>
          <w:tcPr>
            <w:tcW w:type="dxa" w:w="4968"/>
            <w:vAlign w:val="center"/>
            <w:shd w:fill="F3F6F6"/>
          </w:tcPr>
          <w:p>
            <w:pPr>
              <w:spacing w:after="0" w:line="269" w:lineRule="auto"/>
            </w:pPr>
            <w:r>
              <w:rPr>
                <w:rFonts w:ascii="Segoe UI" w:hAnsi="Segoe UI"/>
                <w:b w:val="0"/>
                <w:color w:val="000000"/>
                <w:sz w:val="19"/>
              </w:rPr>
              <w:t>Choose a multiple of 10 ms. A different duration changes the count scale.</w:t>
            </w:r>
          </w:p>
        </w:tc>
      </w:tr>
      <w:tr>
        <w:trPr>
          <w:cantSplit/>
        </w:trPr>
        <w:tc>
          <w:tcPr>
            <w:tcW w:type="dxa" w:w="2520"/>
            <w:vAlign w:val="center"/>
            <w:shd w:fill="FFFFFF"/>
          </w:tcPr>
          <w:p>
            <w:pPr>
              <w:spacing w:after="0" w:line="269" w:lineRule="auto"/>
            </w:pPr>
            <w:r>
              <w:rPr>
                <w:rFonts w:ascii="Segoe UI" w:hAnsi="Segoe UI"/>
                <w:b w:val="0"/>
                <w:color w:val="000000"/>
                <w:sz w:val="19"/>
              </w:rPr>
              <w:t>Threshold T</w:t>
            </w:r>
          </w:p>
        </w:tc>
        <w:tc>
          <w:tcPr>
            <w:tcW w:type="dxa" w:w="2304"/>
            <w:vAlign w:val="center"/>
            <w:shd w:fill="FFFFFF"/>
          </w:tcPr>
          <w:p>
            <w:pPr>
              <w:spacing w:after="0" w:line="269" w:lineRule="auto"/>
            </w:pPr>
            <w:r>
              <w:rPr>
                <w:rFonts w:ascii="Segoe UI" w:hAnsi="Segoe UI"/>
                <w:b w:val="0"/>
                <w:color w:val="000000"/>
                <w:sz w:val="19"/>
              </w:rPr>
              <w:t>15000 counts</w:t>
            </w:r>
          </w:p>
        </w:tc>
        <w:tc>
          <w:tcPr>
            <w:tcW w:type="dxa" w:w="4968"/>
            <w:vAlign w:val="center"/>
            <w:shd w:fill="FFFFFF"/>
          </w:tcPr>
          <w:p>
            <w:pPr>
              <w:spacing w:after="0" w:line="269" w:lineRule="auto"/>
            </w:pPr>
            <w:r>
              <w:rPr>
                <w:rFonts w:ascii="Segoe UI" w:hAnsi="Segoe UI"/>
                <w:b w:val="0"/>
                <w:color w:val="000000"/>
                <w:sz w:val="19"/>
              </w:rPr>
              <w:t>Set for the current background and fluorescent sample at the selected gate.</w:t>
            </w:r>
          </w:p>
        </w:tc>
      </w:tr>
      <w:tr>
        <w:trPr>
          <w:cantSplit/>
        </w:trPr>
        <w:tc>
          <w:tcPr>
            <w:tcW w:type="dxa" w:w="2520"/>
            <w:vAlign w:val="center"/>
            <w:shd w:fill="F3F6F6"/>
          </w:tcPr>
          <w:p>
            <w:pPr>
              <w:spacing w:after="0" w:line="269" w:lineRule="auto"/>
            </w:pPr>
            <w:r>
              <w:rPr>
                <w:rFonts w:ascii="Segoe UI" w:hAnsi="Segoe UI"/>
                <w:b w:val="0"/>
                <w:color w:val="000000"/>
                <w:sz w:val="19"/>
              </w:rPr>
              <w:t>Hysteresis H</w:t>
            </w:r>
          </w:p>
        </w:tc>
        <w:tc>
          <w:tcPr>
            <w:tcW w:type="dxa" w:w="2304"/>
            <w:vAlign w:val="center"/>
            <w:shd w:fill="F3F6F6"/>
          </w:tcPr>
          <w:p>
            <w:pPr>
              <w:spacing w:after="0" w:line="269" w:lineRule="auto"/>
            </w:pPr>
            <w:r>
              <w:rPr>
                <w:rFonts w:ascii="Segoe UI" w:hAnsi="Segoe UI"/>
                <w:b w:val="0"/>
                <w:color w:val="000000"/>
                <w:sz w:val="19"/>
              </w:rPr>
              <w:t>100 counts</w:t>
            </w:r>
          </w:p>
        </w:tc>
        <w:tc>
          <w:tcPr>
            <w:tcW w:type="dxa" w:w="4968"/>
            <w:vAlign w:val="center"/>
            <w:shd w:fill="F3F6F6"/>
          </w:tcPr>
          <w:p>
            <w:pPr>
              <w:spacing w:after="0" w:line="269" w:lineRule="auto"/>
            </w:pPr>
            <w:r>
              <w:rPr>
                <w:rFonts w:ascii="Segoe UI" w:hAnsi="Segoe UI"/>
                <w:b w:val="0"/>
                <w:color w:val="000000"/>
                <w:sz w:val="19"/>
              </w:rPr>
              <w:t>AUTO sets HIGH at count &gt;= T and LOW at count &lt;= T - H.</w:t>
            </w:r>
          </w:p>
        </w:tc>
      </w:tr>
      <w:tr>
        <w:trPr>
          <w:cantSplit/>
        </w:trPr>
        <w:tc>
          <w:tcPr>
            <w:tcW w:type="dxa" w:w="2520"/>
            <w:vAlign w:val="center"/>
            <w:shd w:fill="FFFFFF"/>
          </w:tcPr>
          <w:p>
            <w:pPr>
              <w:spacing w:after="0" w:line="269" w:lineRule="auto"/>
            </w:pPr>
            <w:r>
              <w:rPr>
                <w:rFonts w:ascii="Segoe UI" w:hAnsi="Segoe UI"/>
                <w:b w:val="0"/>
                <w:color w:val="000000"/>
                <w:sz w:val="19"/>
              </w:rPr>
              <w:t>Manual test pulse</w:t>
            </w:r>
          </w:p>
        </w:tc>
        <w:tc>
          <w:tcPr>
            <w:tcW w:type="dxa" w:w="2304"/>
            <w:vAlign w:val="center"/>
            <w:shd w:fill="FFFFFF"/>
          </w:tcPr>
          <w:p>
            <w:pPr>
              <w:spacing w:after="0" w:line="269" w:lineRule="auto"/>
            </w:pPr>
            <w:r>
              <w:rPr>
                <w:rFonts w:ascii="Segoe UI" w:hAnsi="Segoe UI"/>
                <w:b w:val="0"/>
                <w:color w:val="000000"/>
                <w:sz w:val="19"/>
              </w:rPr>
              <w:t>1 to 5000 ms</w:t>
            </w:r>
          </w:p>
        </w:tc>
        <w:tc>
          <w:tcPr>
            <w:tcW w:type="dxa" w:w="4968"/>
            <w:vAlign w:val="center"/>
            <w:shd w:fill="FFFFFF"/>
          </w:tcPr>
          <w:p>
            <w:pPr>
              <w:spacing w:after="0" w:line="269" w:lineRule="auto"/>
            </w:pPr>
            <w:r>
              <w:rPr>
                <w:rFonts w:ascii="Segoe UI" w:hAnsi="Segoe UI"/>
                <w:b w:val="0"/>
                <w:color w:val="000000"/>
                <w:sz w:val="19"/>
              </w:rPr>
              <w:t>Commissioning command, distinct from AUTO threshold gating.</w:t>
            </w:r>
          </w:p>
        </w:tc>
      </w:tr>
      <w:tr>
        <w:trPr>
          <w:cantSplit/>
        </w:trPr>
        <w:tc>
          <w:tcPr>
            <w:tcW w:type="dxa" w:w="2520"/>
            <w:vAlign w:val="center"/>
            <w:shd w:fill="F3F6F6"/>
          </w:tcPr>
          <w:p>
            <w:pPr>
              <w:spacing w:after="0" w:line="269" w:lineRule="auto"/>
            </w:pPr>
            <w:r>
              <w:rPr>
                <w:rFonts w:ascii="Segoe UI" w:hAnsi="Segoe UI"/>
                <w:b w:val="0"/>
                <w:color w:val="000000"/>
                <w:sz w:val="19"/>
              </w:rPr>
              <w:t>Pump connection</w:t>
            </w:r>
          </w:p>
        </w:tc>
        <w:tc>
          <w:tcPr>
            <w:tcW w:type="dxa" w:w="2304"/>
            <w:vAlign w:val="center"/>
            <w:shd w:fill="F3F6F6"/>
          </w:tcPr>
          <w:p>
            <w:pPr>
              <w:spacing w:after="0" w:line="269" w:lineRule="auto"/>
            </w:pPr>
            <w:r>
              <w:rPr>
                <w:rFonts w:ascii="Segoe UI" w:hAnsi="Segoe UI"/>
                <w:b w:val="0"/>
                <w:color w:val="000000"/>
                <w:sz w:val="19"/>
              </w:rPr>
              <w:t>2400,Even,8,1</w:t>
            </w:r>
          </w:p>
        </w:tc>
        <w:tc>
          <w:tcPr>
            <w:tcW w:type="dxa" w:w="4968"/>
            <w:vAlign w:val="center"/>
            <w:shd w:fill="F3F6F6"/>
          </w:tcPr>
          <w:p>
            <w:pPr>
              <w:spacing w:after="0" w:line="269" w:lineRule="auto"/>
            </w:pPr>
            <w:r>
              <w:rPr>
                <w:rFonts w:ascii="Segoe UI" w:hAnsi="Segoe UI"/>
                <w:b w:val="0"/>
                <w:color w:val="000000"/>
                <w:sz w:val="19"/>
              </w:rPr>
              <w:t>Match the pump setting; address remains 1 when changing channels.</w:t>
            </w:r>
          </w:p>
        </w:tc>
      </w:tr>
      <w:tr>
        <w:trPr>
          <w:cantSplit/>
        </w:trPr>
        <w:tc>
          <w:tcPr>
            <w:tcW w:type="dxa" w:w="2520"/>
            <w:vAlign w:val="center"/>
            <w:shd w:fill="FFFFFF"/>
          </w:tcPr>
          <w:p>
            <w:pPr>
              <w:spacing w:after="0" w:line="269" w:lineRule="auto"/>
            </w:pPr>
            <w:r>
              <w:rPr>
                <w:rFonts w:ascii="Segoe UI" w:hAnsi="Segoe UI"/>
                <w:b w:val="0"/>
                <w:color w:val="000000"/>
                <w:sz w:val="19"/>
              </w:rPr>
              <w:t>PYNQ endpoint</w:t>
            </w:r>
          </w:p>
        </w:tc>
        <w:tc>
          <w:tcPr>
            <w:tcW w:type="dxa" w:w="2304"/>
            <w:vAlign w:val="center"/>
            <w:shd w:fill="FFFFFF"/>
          </w:tcPr>
          <w:p>
            <w:pPr>
              <w:spacing w:after="0" w:line="269" w:lineRule="auto"/>
            </w:pPr>
            <w:r>
              <w:rPr>
                <w:rFonts w:ascii="Segoe UI" w:hAnsi="Segoe UI"/>
                <w:b w:val="0"/>
                <w:color w:val="000000"/>
                <w:sz w:val="19"/>
              </w:rPr>
              <w:t>192.168.2.99:5000</w:t>
            </w:r>
          </w:p>
        </w:tc>
        <w:tc>
          <w:tcPr>
            <w:tcW w:type="dxa" w:w="4968"/>
            <w:vAlign w:val="center"/>
            <w:shd w:fill="FFFFFF"/>
          </w:tcPr>
          <w:p>
            <w:pPr>
              <w:spacing w:after="0" w:line="269" w:lineRule="auto"/>
            </w:pPr>
            <w:r>
              <w:rPr>
                <w:rFonts w:ascii="Segoe UI" w:hAnsi="Segoe UI"/>
                <w:b w:val="0"/>
                <w:color w:val="000000"/>
                <w:sz w:val="19"/>
              </w:rPr>
              <w:t>Use the installed board address.</w:t>
            </w:r>
          </w:p>
        </w:tc>
      </w:tr>
      <w:tr>
        <w:trPr>
          <w:cantSplit/>
        </w:trPr>
        <w:tc>
          <w:tcPr>
            <w:tcW w:type="dxa" w:w="2520"/>
            <w:vAlign w:val="center"/>
            <w:shd w:fill="F3F6F6"/>
          </w:tcPr>
          <w:p>
            <w:pPr>
              <w:spacing w:after="0" w:line="269" w:lineRule="auto"/>
            </w:pPr>
            <w:r>
              <w:rPr>
                <w:rFonts w:ascii="Segoe UI" w:hAnsi="Segoe UI"/>
                <w:b w:val="0"/>
                <w:color w:val="000000"/>
                <w:sz w:val="19"/>
              </w:rPr>
              <w:t>Recording setting</w:t>
            </w:r>
          </w:p>
        </w:tc>
        <w:tc>
          <w:tcPr>
            <w:tcW w:type="dxa" w:w="2304"/>
            <w:vAlign w:val="center"/>
            <w:shd w:fill="F3F6F6"/>
          </w:tcPr>
          <w:p>
            <w:pPr>
              <w:spacing w:after="0" w:line="269" w:lineRule="auto"/>
            </w:pPr>
            <w:r>
              <w:rPr>
                <w:rFonts w:ascii="Segoe UI" w:hAnsi="Segoe UI"/>
                <w:b w:val="0"/>
                <w:color w:val="000000"/>
                <w:sz w:val="19"/>
              </w:rPr>
              <w:t>30 fps default</w:t>
            </w:r>
          </w:p>
        </w:tc>
        <w:tc>
          <w:tcPr>
            <w:tcW w:type="dxa" w:w="4968"/>
            <w:vAlign w:val="center"/>
            <w:shd w:fill="F3F6F6"/>
          </w:tcPr>
          <w:p>
            <w:pPr>
              <w:spacing w:after="0" w:line="269" w:lineRule="auto"/>
            </w:pPr>
            <w:r>
              <w:rPr>
                <w:rFonts w:ascii="Segoe UI" w:hAnsi="Segoe UI"/>
                <w:b w:val="0"/>
                <w:color w:val="000000"/>
                <w:sz w:val="19"/>
              </w:rPr>
              <w:t>Choose for the camera setup; saved timestamps identify acquisition timing.</w:t>
            </w:r>
          </w:p>
        </w:tc>
      </w:tr>
    </w:tbl>
    <w:p>
      <w:pPr>
        <w:spacing w:after="20" w:before="0" w:line="60" w:lineRule="exact"/>
      </w:pPr>
    </w:p>
    <w:p>
      <w:pPr>
        <w:pStyle w:val="Heading2"/>
      </w:pPr>
      <w:r>
        <w:rPr>
          <w:rFonts w:ascii="Segoe UI" w:hAnsi="Segoe UI"/>
        </w:rPr>
        <w:t>Recording output</w:t>
      </w:r>
    </w:p>
    <w:p>
      <w:r>
        <w:rPr>
          <w:rFonts w:ascii="Segoe UI" w:hAnsi="Segoe UI"/>
        </w:rPr>
        <w:t>Camera recordings are stored in recordings/NEFU_IDEC_&lt;timestamp&gt;_&lt;experiment&gt;/. The raw AVI contains the camera image; the optional review AVI adds device state. frame_index.csv links frames to acquisition state, and recording_metadata.txt stores recording settings. Stop recording normally and wait for writing to finish before moving files.</w:t>
      </w:r>
    </w:p>
    <w:p>
      <w:pPr>
        <w:pStyle w:val="Heading2"/>
      </w:pPr>
      <w:r>
        <w:rPr>
          <w:rFonts w:ascii="Segoe UI" w:hAnsi="Segoe UI"/>
        </w:rPr>
        <w:t>Device diagnostics when needed</w:t>
      </w:r>
    </w:p>
    <w:p>
      <w:r>
        <w:rPr>
          <w:rFonts w:ascii="Segoe UI" w:hAnsi="Segoe UI"/>
        </w:rPr>
        <w:t>ch297_logs contains source acquisition records, sync_logs the workstation receive stream and perf_logs the V7 acknowledgements and summaries. Use the Run log panel first for connection faults. These files are generated during operation; no extra diagnostic run is required for routine setup.</w:t>
      </w:r>
    </w:p>
    <w:p>
      <w:r>
        <w:rPr>
          <w:rFonts w:ascii="Segoe UI" w:hAnsi="Segoe UI"/>
        </w:rPr>
        <w:t>The board drives LOW on startup, invalid samples and disconnect. In AUTO, valid-sample timeout is 1 second; client inactivity timeout is 3 seconds. Check the physical output and manually controlled amplifier state before handling hardware.</w:t>
      </w:r>
    </w:p>
    <w:p>
      <w:pPr>
        <w:pageBreakBefore/>
        <w:spacing w:after="100"/>
      </w:pPr>
      <w:r>
        <w:rPr>
          <w:rFonts w:ascii="Segoe UI" w:hAnsi="Segoe UI"/>
          <w:b/>
          <w:sz w:val="18"/>
        </w:rPr>
        <w:t>SERVICE</w:t>
      </w:r>
    </w:p>
    <w:p>
      <w:pPr>
        <w:pStyle w:val="Heading1"/>
      </w:pPr>
      <w:r>
        <w:rPr>
          <w:rFonts w:ascii="Segoe UI" w:hAnsi="Segoe UI"/>
        </w:rPr>
        <w:t>13 Troubleshooting</w:t>
      </w:r>
    </w:p>
    <w:p>
      <w:r>
        <w:rPr>
          <w:rFonts w:ascii="Segoe UI" w:hAnsi="Segoe UI"/>
        </w:rPr>
        <w:t>For a fluidic or electrical fault, request Force LOW, disable the amplifier and stop pump motion. Recover one subsystem at a time before resuming.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880"/>
        <w:gridCol w:w="6912"/>
      </w:tblGrid>
      <w:tr>
        <w:trPr>
          <w:tblHeader/>
          <w:cantSplit/>
        </w:trPr>
        <w:tc>
          <w:tcPr>
            <w:tcW w:type="dxa" w:w="2880"/>
            <w:vAlign w:val="center"/>
            <w:shd w:fill="263238"/>
          </w:tcPr>
          <w:p>
            <w:pPr>
              <w:spacing w:after="0" w:line="269" w:lineRule="auto"/>
            </w:pPr>
            <w:r>
              <w:rPr>
                <w:rFonts w:ascii="Segoe UI" w:hAnsi="Segoe UI"/>
                <w:b/>
                <w:color w:val="FFFFFF"/>
                <w:sz w:val="19"/>
              </w:rPr>
              <w:t>Symptom</w:t>
            </w:r>
          </w:p>
        </w:tc>
        <w:tc>
          <w:tcPr>
            <w:tcW w:type="dxa" w:w="6912"/>
            <w:vAlign w:val="center"/>
            <w:shd w:fill="263238"/>
          </w:tcPr>
          <w:p>
            <w:pPr>
              <w:spacing w:after="0" w:line="269" w:lineRule="auto"/>
            </w:pPr>
            <w:r>
              <w:rPr>
                <w:rFonts w:ascii="Segoe UI" w:hAnsi="Segoe UI"/>
                <w:b/>
                <w:color w:val="FFFFFF"/>
                <w:sz w:val="19"/>
              </w:rPr>
              <w:t>Check and recover</w:t>
            </w:r>
          </w:p>
        </w:tc>
      </w:tr>
      <w:tr>
        <w:trPr>
          <w:cantSplit/>
        </w:trPr>
        <w:tc>
          <w:tcPr>
            <w:tcW w:type="dxa" w:w="2880"/>
            <w:vAlign w:val="center"/>
            <w:shd w:fill="F3F6F6"/>
          </w:tcPr>
          <w:p>
            <w:pPr>
              <w:spacing w:after="0" w:line="269" w:lineRule="auto"/>
            </w:pPr>
            <w:r>
              <w:rPr>
                <w:rFonts w:ascii="Segoe UI" w:hAnsi="Segoe UI"/>
                <w:b w:val="0"/>
                <w:color w:val="000000"/>
                <w:sz w:val="19"/>
              </w:rPr>
              <w:t>Camera not detected</w:t>
            </w:r>
          </w:p>
        </w:tc>
        <w:tc>
          <w:tcPr>
            <w:tcW w:type="dxa" w:w="6912"/>
            <w:vAlign w:val="center"/>
            <w:shd w:fill="F3F6F6"/>
          </w:tcPr>
          <w:p>
            <w:pPr>
              <w:spacing w:after="0" w:line="269" w:lineRule="auto"/>
            </w:pPr>
            <w:r>
              <w:rPr>
                <w:rFonts w:ascii="Segoe UI" w:hAnsi="Segoe UI"/>
                <w:b w:val="0"/>
                <w:color w:val="000000"/>
                <w:sz w:val="19"/>
              </w:rPr>
              <w:t>Check USB and supplier drivers. Close OsCam or another camera application. Check OEApi64.dll and matching x64 dependencies; restart after changing NEFU_OSCAM_DIR.</w:t>
            </w:r>
          </w:p>
        </w:tc>
      </w:tr>
      <w:tr>
        <w:trPr>
          <w:cantSplit/>
        </w:trPr>
        <w:tc>
          <w:tcPr>
            <w:tcW w:type="dxa" w:w="2880"/>
            <w:vAlign w:val="center"/>
            <w:shd w:fill="FFFFFF"/>
          </w:tcPr>
          <w:p>
            <w:pPr>
              <w:spacing w:after="0" w:line="269" w:lineRule="auto"/>
            </w:pPr>
            <w:r>
              <w:rPr>
                <w:rFonts w:ascii="Segoe UI" w:hAnsi="Segoe UI"/>
                <w:b w:val="0"/>
                <w:color w:val="000000"/>
                <w:sz w:val="19"/>
              </w:rPr>
              <w:t>PMTCount not registered</w:t>
            </w:r>
          </w:p>
        </w:tc>
        <w:tc>
          <w:tcPr>
            <w:tcW w:type="dxa" w:w="6912"/>
            <w:vAlign w:val="center"/>
            <w:shd w:fill="FFFFFF"/>
          </w:tcPr>
          <w:p>
            <w:pPr>
              <w:spacing w:after="0" w:line="269" w:lineRule="auto"/>
            </w:pPr>
            <w:r>
              <w:rPr>
                <w:rFonts w:ascii="Segoe UI" w:hAnsi="Segoe UI"/>
                <w:b w:val="0"/>
                <w:color w:val="000000"/>
                <w:sz w:val="19"/>
              </w:rPr>
              <w:t>Install the supplier x86 component. Use the administrator helper for the matching PMTCount.dll, then rerun the environment check.</w:t>
            </w:r>
          </w:p>
        </w:tc>
      </w:tr>
      <w:tr>
        <w:trPr>
          <w:cantSplit/>
        </w:trPr>
        <w:tc>
          <w:tcPr>
            <w:tcW w:type="dxa" w:w="2880"/>
            <w:vAlign w:val="center"/>
            <w:shd w:fill="F3F6F6"/>
          </w:tcPr>
          <w:p>
            <w:pPr>
              <w:spacing w:after="0" w:line="269" w:lineRule="auto"/>
            </w:pPr>
            <w:r>
              <w:rPr>
                <w:rFonts w:ascii="Segoe UI" w:hAnsi="Segoe UI"/>
                <w:b w:val="0"/>
                <w:color w:val="000000"/>
                <w:sz w:val="19"/>
              </w:rPr>
              <w:t>CH297 start returns -1</w:t>
            </w:r>
          </w:p>
        </w:tc>
        <w:tc>
          <w:tcPr>
            <w:tcW w:type="dxa" w:w="6912"/>
            <w:vAlign w:val="center"/>
            <w:shd w:fill="F3F6F6"/>
          </w:tcPr>
          <w:p>
            <w:pPr>
              <w:spacing w:after="0" w:line="269" w:lineRule="auto"/>
            </w:pPr>
            <w:r>
              <w:rPr>
                <w:rFonts w:ascii="Segoe UI" w:hAnsi="Segoe UI"/>
                <w:b w:val="0"/>
                <w:color w:val="000000"/>
                <w:sz w:val="19"/>
              </w:rPr>
              <w:t>Check power and actual COM port. Close supplier software, serial terminals and old bridges. Reconnect with 19200,n,8,1.</w:t>
            </w:r>
          </w:p>
        </w:tc>
      </w:tr>
      <w:tr>
        <w:trPr>
          <w:cantSplit/>
        </w:trPr>
        <w:tc>
          <w:tcPr>
            <w:tcW w:type="dxa" w:w="2880"/>
            <w:vAlign w:val="center"/>
            <w:shd w:fill="FFFFFF"/>
          </w:tcPr>
          <w:p>
            <w:pPr>
              <w:spacing w:after="0" w:line="269" w:lineRule="auto"/>
            </w:pPr>
            <w:r>
              <w:rPr>
                <w:rFonts w:ascii="Segoe UI" w:hAnsi="Segoe UI"/>
                <w:b w:val="0"/>
                <w:color w:val="000000"/>
                <w:sz w:val="19"/>
              </w:rPr>
              <w:t>CH297 start returns -4</w:t>
            </w:r>
          </w:p>
        </w:tc>
        <w:tc>
          <w:tcPr>
            <w:tcW w:type="dxa" w:w="6912"/>
            <w:vAlign w:val="center"/>
            <w:shd w:fill="FFFFFF"/>
          </w:tcPr>
          <w:p>
            <w:pPr>
              <w:spacing w:after="0" w:line="269" w:lineRule="auto"/>
            </w:pPr>
            <w:r>
              <w:rPr>
                <w:rFonts w:ascii="Segoe UI" w:hAnsi="Segoe UI"/>
                <w:b w:val="0"/>
                <w:color w:val="000000"/>
                <w:sz w:val="19"/>
              </w:rPr>
              <w:t>Begin with a 10 ms or 100 ms gate. Use multiples of 10 ms within the counter's supported range.</w:t>
            </w:r>
          </w:p>
        </w:tc>
      </w:tr>
      <w:tr>
        <w:trPr>
          <w:cantSplit/>
        </w:trPr>
        <w:tc>
          <w:tcPr>
            <w:tcW w:type="dxa" w:w="2880"/>
            <w:vAlign w:val="center"/>
            <w:shd w:fill="F3F6F6"/>
          </w:tcPr>
          <w:p>
            <w:pPr>
              <w:spacing w:after="0" w:line="269" w:lineRule="auto"/>
            </w:pPr>
            <w:r>
              <w:rPr>
                <w:rFonts w:ascii="Segoe UI" w:hAnsi="Segoe UI"/>
                <w:b w:val="0"/>
                <w:color w:val="000000"/>
                <w:sz w:val="19"/>
              </w:rPr>
              <w:t>Counts missing or invalid</w:t>
            </w:r>
          </w:p>
        </w:tc>
        <w:tc>
          <w:tcPr>
            <w:tcW w:type="dxa" w:w="6912"/>
            <w:vAlign w:val="center"/>
            <w:shd w:fill="F3F6F6"/>
          </w:tcPr>
          <w:p>
            <w:pPr>
              <w:spacing w:after="0" w:line="269" w:lineRule="auto"/>
            </w:pPr>
            <w:r>
              <w:rPr>
                <w:rFonts w:ascii="Segoe UI" w:hAnsi="Segoe UI"/>
                <w:b w:val="0"/>
                <w:color w:val="000000"/>
                <w:sz w:val="19"/>
              </w:rPr>
              <w:t>Check PMT power, signal cable, serial settings and shielding. Keep GATE LOW. Read errors -1 and -2 mean checksum error and no received count.</w:t>
            </w:r>
          </w:p>
        </w:tc>
      </w:tr>
      <w:tr>
        <w:trPr>
          <w:cantSplit/>
        </w:trPr>
        <w:tc>
          <w:tcPr>
            <w:tcW w:type="dxa" w:w="2880"/>
            <w:vAlign w:val="center"/>
            <w:shd w:fill="FFFFFF"/>
          </w:tcPr>
          <w:p>
            <w:pPr>
              <w:spacing w:after="0" w:line="269" w:lineRule="auto"/>
            </w:pPr>
            <w:r>
              <w:rPr>
                <w:rFonts w:ascii="Segoe UI" w:hAnsi="Segoe UI"/>
                <w:b w:val="0"/>
                <w:color w:val="000000"/>
                <w:sz w:val="19"/>
              </w:rPr>
              <w:t>Counts unexpectedly high</w:t>
            </w:r>
          </w:p>
        </w:tc>
        <w:tc>
          <w:tcPr>
            <w:tcW w:type="dxa" w:w="6912"/>
            <w:vAlign w:val="center"/>
            <w:shd w:fill="FFFFFF"/>
          </w:tcPr>
          <w:p>
            <w:pPr>
              <w:spacing w:after="0" w:line="269" w:lineRule="auto"/>
            </w:pPr>
            <w:r>
              <w:rPr>
                <w:rFonts w:ascii="Segoe UI" w:hAnsi="Segoe UI"/>
                <w:b w:val="0"/>
                <w:color w:val="000000"/>
                <w:sz w:val="19"/>
              </w:rPr>
              <w:t>Disable excitation and PMT power before inspection. Check light leaks, emission filtering, illumination and matching para.ini.</w:t>
            </w:r>
          </w:p>
        </w:tc>
      </w:tr>
      <w:tr>
        <w:trPr>
          <w:cantSplit/>
        </w:trPr>
        <w:tc>
          <w:tcPr>
            <w:tcW w:type="dxa" w:w="2880"/>
            <w:vAlign w:val="center"/>
            <w:shd w:fill="F3F6F6"/>
          </w:tcPr>
          <w:p>
            <w:pPr>
              <w:spacing w:after="0" w:line="269" w:lineRule="auto"/>
            </w:pPr>
            <w:r>
              <w:rPr>
                <w:rFonts w:ascii="Segoe UI" w:hAnsi="Segoe UI"/>
                <w:b w:val="0"/>
                <w:color w:val="000000"/>
                <w:sz w:val="19"/>
              </w:rPr>
              <w:t>PYNQ cannot connect</w:t>
            </w:r>
          </w:p>
        </w:tc>
        <w:tc>
          <w:tcPr>
            <w:tcW w:type="dxa" w:w="6912"/>
            <w:vAlign w:val="center"/>
            <w:shd w:fill="F3F6F6"/>
          </w:tcPr>
          <w:p>
            <w:pPr>
              <w:spacing w:after="0" w:line="269" w:lineRule="auto"/>
            </w:pPr>
            <w:r>
              <w:rPr>
                <w:rFonts w:ascii="Segoe UI" w:hAnsi="Segoe UI"/>
                <w:b w:val="0"/>
                <w:color w:val="000000"/>
                <w:sz w:val="19"/>
              </w:rPr>
              <w:t>Check power, address, subnet and Ethernet. Confirm Listening on 0.0.0.0:5000 in its terminal. Run the matching PERF server.</w:t>
            </w:r>
          </w:p>
        </w:tc>
      </w:tr>
      <w:tr>
        <w:trPr>
          <w:cantSplit/>
        </w:trPr>
        <w:tc>
          <w:tcPr>
            <w:tcW w:type="dxa" w:w="2880"/>
            <w:vAlign w:val="center"/>
            <w:shd w:fill="FFFFFF"/>
          </w:tcPr>
          <w:p>
            <w:pPr>
              <w:spacing w:after="0" w:line="269" w:lineRule="auto"/>
            </w:pPr>
            <w:r>
              <w:rPr>
                <w:rFonts w:ascii="Segoe UI" w:hAnsi="Segoe UI"/>
                <w:b w:val="0"/>
                <w:color w:val="000000"/>
                <w:sz w:val="19"/>
              </w:rPr>
              <w:t>Port 5000 occupied</w:t>
            </w:r>
          </w:p>
        </w:tc>
        <w:tc>
          <w:tcPr>
            <w:tcW w:type="dxa" w:w="6912"/>
            <w:vAlign w:val="center"/>
            <w:shd w:fill="FFFFFF"/>
          </w:tcPr>
          <w:p>
            <w:pPr>
              <w:spacing w:after="0" w:line="269" w:lineRule="auto"/>
            </w:pPr>
            <w:r>
              <w:rPr>
                <w:rFonts w:ascii="Segoe UI" w:hAnsi="Segoe UI"/>
                <w:b w:val="0"/>
                <w:color w:val="000000"/>
                <w:sz w:val="19"/>
              </w:rPr>
              <w:t>Request LOW and disable the drive, then stop the previous board server normally before restarting.</w:t>
            </w:r>
          </w:p>
        </w:tc>
      </w:tr>
      <w:tr>
        <w:trPr>
          <w:cantSplit/>
        </w:trPr>
        <w:tc>
          <w:tcPr>
            <w:tcW w:type="dxa" w:w="2880"/>
            <w:vAlign w:val="center"/>
            <w:shd w:fill="F3F6F6"/>
          </w:tcPr>
          <w:p>
            <w:pPr>
              <w:spacing w:after="0" w:line="269" w:lineRule="auto"/>
            </w:pPr>
            <w:r>
              <w:rPr>
                <w:rFonts w:ascii="Segoe UI" w:hAnsi="Segoe UI"/>
                <w:b w:val="0"/>
                <w:color w:val="000000"/>
                <w:sz w:val="19"/>
              </w:rPr>
              <w:t>Pump has no reply</w:t>
            </w:r>
          </w:p>
        </w:tc>
        <w:tc>
          <w:tcPr>
            <w:tcW w:type="dxa" w:w="6912"/>
            <w:vAlign w:val="center"/>
            <w:shd w:fill="F3F6F6"/>
          </w:tcPr>
          <w:p>
            <w:pPr>
              <w:spacing w:after="0" w:line="269" w:lineRule="auto"/>
            </w:pPr>
            <w:r>
              <w:rPr>
                <w:rFonts w:ascii="Segoe UI" w:hAnsi="Segoe UI"/>
                <w:b w:val="0"/>
                <w:color w:val="000000"/>
                <w:sz w:val="19"/>
              </w:rPr>
              <w:t>Check RS485 A/B/reference, address 1, baud and Even parity. Close other serial tools. Use read-only Autodetect on the selected port.</w:t>
            </w:r>
          </w:p>
        </w:tc>
      </w:tr>
      <w:tr>
        <w:trPr>
          <w:cantSplit/>
        </w:trPr>
        <w:tc>
          <w:tcPr>
            <w:tcW w:type="dxa" w:w="2880"/>
            <w:vAlign w:val="center"/>
            <w:shd w:fill="FFFFFF"/>
          </w:tcPr>
          <w:p>
            <w:pPr>
              <w:spacing w:after="0" w:line="269" w:lineRule="auto"/>
            </w:pPr>
            <w:r>
              <w:rPr>
                <w:rFonts w:ascii="Segoe UI" w:hAnsi="Segoe UI"/>
                <w:b w:val="0"/>
                <w:color w:val="000000"/>
                <w:sz w:val="19"/>
              </w:rPr>
              <w:t>No droplets or leakage</w:t>
            </w:r>
          </w:p>
        </w:tc>
        <w:tc>
          <w:tcPr>
            <w:tcW w:type="dxa" w:w="6912"/>
            <w:vAlign w:val="center"/>
            <w:shd w:fill="FFFFFF"/>
          </w:tcPr>
          <w:p>
            <w:pPr>
              <w:spacing w:after="0" w:line="269" w:lineRule="auto"/>
            </w:pPr>
            <w:r>
              <w:rPr>
                <w:rFonts w:ascii="Segoe UI" w:hAnsi="Segoe UI"/>
                <w:b w:val="0"/>
                <w:color w:val="000000"/>
                <w:sz w:val="19"/>
              </w:rPr>
              <w:t>Stop the pump. Check syringe seating, air, bends, fittings and blockage. Replace damaged or leaking chips; do not raise pressure to clear them.</w:t>
            </w:r>
          </w:p>
        </w:tc>
      </w:tr>
      <w:tr>
        <w:trPr>
          <w:cantSplit/>
        </w:trPr>
        <w:tc>
          <w:tcPr>
            <w:tcW w:type="dxa" w:w="2880"/>
            <w:vAlign w:val="center"/>
            <w:shd w:fill="F3F6F6"/>
          </w:tcPr>
          <w:p>
            <w:pPr>
              <w:spacing w:after="0" w:line="269" w:lineRule="auto"/>
            </w:pPr>
            <w:r>
              <w:rPr>
                <w:rFonts w:ascii="Segoe UI" w:hAnsi="Segoe UI"/>
                <w:b w:val="0"/>
                <w:color w:val="000000"/>
                <w:sz w:val="19"/>
              </w:rPr>
              <w:t>Gate changes without deflection</w:t>
            </w:r>
          </w:p>
        </w:tc>
        <w:tc>
          <w:tcPr>
            <w:tcW w:type="dxa" w:w="6912"/>
            <w:vAlign w:val="center"/>
            <w:shd w:fill="F3F6F6"/>
          </w:tcPr>
          <w:p>
            <w:pPr>
              <w:spacing w:after="0" w:line="269" w:lineRule="auto"/>
            </w:pPr>
            <w:r>
              <w:rPr>
                <w:rFonts w:ascii="Segoe UI" w:hAnsi="Segoe UI"/>
                <w:b w:val="0"/>
                <w:color w:val="000000"/>
                <w:sz w:val="19"/>
              </w:rPr>
              <w:t>Return LOW and disable the drive. Check generator mode, monitored amplifier output, electrode contact, droplet size and alignment.</w:t>
            </w:r>
          </w:p>
        </w:tc>
      </w:tr>
    </w:tbl>
    <w:p>
      <w:pPr>
        <w:spacing w:after="20" w:before="0" w:line="60" w:lineRule="exact"/>
      </w:pPr>
    </w:p>
    <w:p>
      <w:pPr>
        <w:pageBreakBefore/>
        <w:spacing w:after="100"/>
      </w:pPr>
      <w:r>
        <w:rPr>
          <w:rFonts w:ascii="Segoe UI" w:hAnsi="Segoe UI"/>
          <w:b/>
          <w:sz w:val="18"/>
        </w:rPr>
        <w:t>SERVICE</w:t>
      </w:r>
    </w:p>
    <w:p>
      <w:pPr>
        <w:pStyle w:val="Heading1"/>
      </w:pPr>
      <w:r>
        <w:rPr>
          <w:rFonts w:ascii="Segoe UI" w:hAnsi="Segoe UI"/>
        </w:rPr>
        <w:t>14 Shutdown and care</w:t>
      </w:r>
    </w:p>
    <w:p>
      <w:pPr>
        <w:pStyle w:val="Heading2"/>
      </w:pPr>
      <w:r>
        <w:rPr>
          <w:rFonts w:ascii="Segoe UI" w:hAnsi="Segoe UI"/>
        </w:rPr>
        <w:t>Finish the run</w:t>
      </w:r>
    </w:p>
    <w:p>
      <w:pPr>
        <w:ind w:left="360" w:hanging="360"/>
      </w:pPr>
      <w:r>
        <w:rPr>
          <w:rFonts w:ascii="Segoe UI" w:hAnsi="Segoe UI"/>
          <w:b/>
        </w:rPr>
        <w:t xml:space="preserve">1. </w:t>
      </w:r>
      <w:r>
        <w:rPr>
          <w:rFonts w:ascii="Segoe UI" w:hAnsi="Segoe UI"/>
        </w:rPr>
        <w:t>Select Stop experiment or Force LOW as appropriate. Confirm LOW, switch off the amplifier output and follow its discharge procedure.</w:t>
      </w:r>
    </w:p>
    <w:p>
      <w:pPr>
        <w:ind w:left="360" w:hanging="360"/>
      </w:pPr>
      <w:r>
        <w:rPr>
          <w:rFonts w:ascii="Segoe UI" w:hAnsi="Segoe UI"/>
          <w:b/>
        </w:rPr>
        <w:t xml:space="preserve">2. </w:t>
      </w:r>
      <w:r>
        <w:rPr>
          <w:rFonts w:ascii="Segoe UI" w:hAnsi="Segoe UI"/>
        </w:rPr>
        <w:t>Stop both pump channels and confirm pushrod motion has stopped before disconnecting tubing.</w:t>
      </w:r>
    </w:p>
    <w:p>
      <w:pPr>
        <w:ind w:left="360" w:hanging="360"/>
      </w:pPr>
      <w:r>
        <w:rPr>
          <w:rFonts w:ascii="Segoe UI" w:hAnsi="Segoe UI"/>
          <w:b/>
        </w:rPr>
        <w:t xml:space="preserve">3. </w:t>
      </w:r>
      <w:r>
        <w:rPr>
          <w:rFonts w:ascii="Segoe UI" w:hAnsi="Segoe UI"/>
        </w:rPr>
        <w:t>Stop counting and finish camera recording. Wait for writing to complete and retain the files needed for your work.</w:t>
      </w:r>
    </w:p>
    <w:p>
      <w:pPr>
        <w:ind w:left="360" w:hanging="360"/>
      </w:pPr>
      <w:r>
        <w:rPr>
          <w:rFonts w:ascii="Segoe UI" w:hAnsi="Segoe UI"/>
          <w:b/>
        </w:rPr>
        <w:t xml:space="preserve">4. </w:t>
      </w:r>
      <w:r>
        <w:rPr>
          <w:rFonts w:ascii="Segoe UI" w:hAnsi="Segoe UI"/>
        </w:rPr>
        <w:t>Disable excitation, switch off the PMT supply and cover the detector. Close the Windows application normally.</w:t>
      </w:r>
    </w:p>
    <w:p>
      <w:pPr>
        <w:ind w:left="360" w:hanging="360"/>
      </w:pPr>
      <w:r>
        <w:rPr>
          <w:rFonts w:ascii="Segoe UI" w:hAnsi="Segoe UI"/>
          <w:b/>
        </w:rPr>
        <w:t xml:space="preserve">5. </w:t>
      </w:r>
      <w:r>
        <w:rPr>
          <w:rFonts w:ascii="Segoe UI" w:hAnsi="Segoe UI"/>
        </w:rPr>
        <w:t>If shutting down PYNQ, stop the service with Ctrl+C and use the board operating system's normal shutdown before removing power.</w:t>
      </w:r>
    </w:p>
    <w:p>
      <w:pPr>
        <w:pStyle w:val="Heading2"/>
      </w:pPr>
      <w:r>
        <w:rPr>
          <w:rFonts w:ascii="Segoe UI" w:hAnsi="Segoe UI"/>
        </w:rPr>
        <w:t>Clean and store</w:t>
      </w:r>
    </w:p>
    <w:p>
      <w:r>
        <w:rPr>
          <w:rFonts w:ascii="Segoe UI" w:hAnsi="Segoe UI"/>
        </w:rPr>
        <w:t>With the electrical drive isolated, dispose of sample and fluids under the laboratory procedure. Flush only with a solution compatible with chip material, bonding, tubing and fluid formulation. Use gentle flow into waste and stop for leakage or resistance. Do not force a blockage with pressure.</w:t>
      </w:r>
    </w:p>
    <w:p>
      <w:r>
        <w:rPr>
          <w:rFonts w:ascii="Segoe UI" w:hAnsi="Segoe UI"/>
        </w:rPr>
        <w:t>Replace damaged tubing and chips. Follow the chip supplier's storage procedure, cap clean fluid lines and protect optical faces from dust. Clean optics only by the supplier-approved method. Keep the PMT window covered and free from mechanical contact.</w:t>
      </w:r>
    </w:p>
    <w:p>
      <w:pPr>
        <w:pStyle w:val="Heading2"/>
      </w:pPr>
      <w:r>
        <w:rPr>
          <w:rFonts w:ascii="Segoe UI" w:hAnsi="Segoe UI"/>
        </w:rPr>
        <w:t>Next startup</w:t>
      </w:r>
    </w:p>
    <w:p>
      <w:r>
        <w:rPr>
          <w:rFonts w:ascii="Segoe UI" w:hAnsi="Segoe UI"/>
        </w:rPr>
        <w:t>Inspect fittings, insulation and shielding. Confirm syringe dimensions and pump settings, then connect camera, photon counter, PYNQ and pump. Begin with the drive disabled and GATE LOW.</w:t>
      </w:r>
    </w:p>
    <w:p>
      <w:pPr>
        <w:pStyle w:val="Heading2"/>
      </w:pPr>
      <w:r>
        <w:rPr>
          <w:rFonts w:ascii="Segoe UI" w:hAnsi="Segoe UI"/>
        </w:rPr>
        <w:t>Project reference</w:t>
      </w:r>
    </w:p>
    <w:p>
      <w:r>
        <w:rPr>
          <w:rFonts w:ascii="Segoe UI" w:hAnsi="Segoe UI"/>
        </w:rPr>
        <w:t>Hardware/BOM.xlsx lists parts; Hardware/Device_Specs.md and Hardware/Wiring_Diagram.md cover specifications and connections. Software/PC_Control/TotalControl_V7_0 contains the Windows program. Software/PYNQ contains the board service. Examples/Video/Droplet_Microscopy.mp4 shows the channel and droplets.</w:t>
      </w:r>
    </w:p>
    <w:sectPr w:rsidR="00FC693F" w:rsidRPr="0006063C" w:rsidSect="00034616">
      <w:headerReference w:type="default" r:id="rId9"/>
      <w:footerReference w:type="default" r:id="rId10"/>
      <w:pgSz w:w="12240" w:h="15840"/>
      <w:pgMar w:top="1008" w:right="1181" w:bottom="936" w:left="1181"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Segoe UI" w:hAnsi="Segoe UI"/>
        <w:color w:val="526066"/>
        <w:sz w:val="16"/>
      </w:rPr>
      <w:t>Platform Build Guide     |     Edition 0.8.2</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Segoe UI" w:hAnsi="Segoe UI"/>
        <w:color w:val="000000"/>
        <w:sz w:val="16"/>
      </w:rPr>
      <w:t>NEFU-CHINA    OPEN MICROFLUIDIC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20"/>
    </w:pPr>
    <w:rPr>
      <w:rFonts w:ascii="Segoe UI" w:hAnsi="Segoe U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Segoe UI" w:hAnsi="Segoe UI"/>
      <w:b/>
      <w:bCs/>
      <w:i w:val="0"/>
      <w:color w:val="000000"/>
      <w:sz w:val="48"/>
      <w:szCs w:val="28"/>
      <w:u w:val="none"/>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Segoe UI" w:hAnsi="Segoe UI"/>
      <w:b/>
      <w:bCs/>
      <w:i w:val="0"/>
      <w:color w:val="000000"/>
      <w:sz w:val="25"/>
      <w:szCs w:val="26"/>
      <w:u w:val="none"/>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Segoe UI" w:hAnsi="Segoe UI"/>
      <w:b/>
      <w:bCs/>
      <w:i w:val="0"/>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Segoe UI" w:hAnsi="Segoe UI"/>
      <w:b/>
      <w:i w:val="0"/>
      <w:color w:val="000000"/>
      <w:spacing w:val="0"/>
      <w:kern w:val="28"/>
      <w:sz w:val="6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Segoe UI" w:hAnsi="Segoe UI"/>
      <w:b w:val="0"/>
      <w:i w:val="0"/>
      <w:iCs/>
      <w:color w:val="000000"/>
      <w:spacing w:val="0"/>
      <w:sz w:val="3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i w:val="0"/>
      <w:color w:val="5260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NEFU China Microfluidic Platform Build Guide</dc:title>
  <dc:subject>Assembly, commissioning and operation of a fluorescence guided droplet sorting platform</dc:subject>
  <dc:creator>NEFU-China iDEC Experimental Group</dc:creator>
  <cp:keywords/>
  <dc:description/>
  <cp:lastModifiedBy>NEFU-China iDEC Experimental Group</cp:lastModifiedBy>
  <cp:revision>1</cp:revision>
  <dcterms:created xsi:type="dcterms:W3CDTF">2013-12-23T23:15:00Z</dcterms:created>
  <dcterms:modified xsi:type="dcterms:W3CDTF">2013-12-23T23:15:00Z</dcterms:modified>
  <cp:category/>
  <cp:version>0.8.2</cp:version>
</cp:coreProperties>
</file>