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CDE4D" w14:textId="7D4962B4" w:rsidR="00181401" w:rsidRPr="00325902" w:rsidRDefault="00181401" w:rsidP="00181401">
      <w:pPr>
        <w:pStyle w:val="MDPI11articletype"/>
      </w:pPr>
      <w:r w:rsidRPr="00325902">
        <w:t>Article</w:t>
      </w:r>
    </w:p>
    <w:p w14:paraId="6F092E99" w14:textId="7CE54E66"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w:t>
      </w:r>
    </w:p>
    <w:p w14:paraId="4E4DA2E2" w14:textId="75C15D69" w:rsidR="00181401" w:rsidRPr="00325902" w:rsidRDefault="00D04714" w:rsidP="00181401">
      <w:pPr>
        <w:pStyle w:val="MDPI13authornames"/>
      </w:pPr>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Keara Malone</w:t>
      </w:r>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proofErr w:type="spellEnd"/>
      <w:r w:rsidR="00E37AF0" w:rsidRPr="00325902">
        <w:t xml:space="preserve"> </w:t>
      </w:r>
      <w:r w:rsidR="00E37AF0" w:rsidRPr="00325902">
        <w:rPr>
          <w:vertAlign w:val="superscript"/>
        </w:rPr>
        <w:t>1</w:t>
      </w:r>
      <w:r w:rsidR="00BB25ED">
        <w:t>,</w:t>
      </w:r>
      <w:r w:rsidR="00BA0F34">
        <w:t xml:space="preserve"> 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proofErr w:type="gramEnd"/>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7" w:history="1">
        <w:r w:rsidR="00E37AF0" w:rsidRPr="001E76D8">
          <w:rPr>
            <w:rStyle w:val="Hyperlink"/>
          </w:rPr>
          <w:t>dusenk@uw.edu</w:t>
        </w:r>
      </w:hyperlink>
      <w:r w:rsidR="00E37AF0">
        <w:t xml:space="preserve"> (K.D.C</w:t>
      </w:r>
      <w:r w:rsidR="00280D5D">
        <w:t>.</w:t>
      </w:r>
      <w:r w:rsidR="00E37AF0">
        <w:t xml:space="preserve">), </w:t>
      </w:r>
      <w:hyperlink r:id="rId8" w:history="1">
        <w:r w:rsidR="009963CB" w:rsidRPr="001E76D8">
          <w:rPr>
            <w:rStyle w:val="Hyperlink"/>
          </w:rPr>
          <w:t>reguia@fredhutch.org</w:t>
        </w:r>
      </w:hyperlink>
      <w:r w:rsidR="009963CB">
        <w:t xml:space="preserve"> (R.E.), </w:t>
      </w:r>
      <w:hyperlink r:id="rId9" w:history="1">
        <w:r w:rsidR="00280D5D" w:rsidRPr="001E76D8">
          <w:rPr>
            <w:rStyle w:val="Hyperlink"/>
          </w:rPr>
          <w:t>adingens@fredhutch.org</w:t>
        </w:r>
      </w:hyperlink>
      <w:r w:rsidR="00280D5D">
        <w:t xml:space="preserve"> (A.S.D.), </w:t>
      </w:r>
      <w:hyperlink r:id="rId10" w:history="1">
        <w:r w:rsidR="00280D5D" w:rsidRPr="001E76D8">
          <w:rPr>
            <w:rStyle w:val="Hyperlink"/>
          </w:rPr>
          <w:t>kmalone2@fredhutch.org</w:t>
        </w:r>
      </w:hyperlink>
      <w:r w:rsidR="00280D5D">
        <w:t xml:space="preserve"> (K.M.), </w:t>
      </w:r>
      <w:hyperlink r:id="rId11"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2"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3"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56714735"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w:t>
      </w:r>
      <w:r w:rsidR="003747EA">
        <w:t xml:space="preserve"> that may help protect against re-infection or disease</w:t>
      </w:r>
      <w:r w:rsidR="00B22624">
        <w:t>. Therefore</w:t>
      </w:r>
      <w:r w:rsidR="00C93A04">
        <w:t xml:space="preserve">, </w:t>
      </w:r>
      <w:r w:rsidR="00A32030">
        <w:t>assays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w:t>
      </w:r>
      <w:r w:rsidR="00A262D1">
        <w:t xml:space="preserve">SARS-CoV-2 is a biosafety-level-3 virus, </w:t>
      </w:r>
      <w:r w:rsidR="00C455FB">
        <w:t xml:space="preserve">one way to simplify </w:t>
      </w:r>
      <w:r w:rsidR="00A32030">
        <w:t>such assays</w:t>
      </w:r>
      <w:r w:rsidR="002A5BB0">
        <w:t xml:space="preserve">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widely available. Here we</w:t>
      </w:r>
      <w:r w:rsidR="00985D46">
        <w:t xml:space="preserve"> </w:t>
      </w:r>
      <w:r w:rsidR="00BF1E76">
        <w:t>detail</w:t>
      </w:r>
      <w:r w:rsidR="00985D46">
        <w:t xml:space="preserve"> how to effectively </w:t>
      </w:r>
      <w:proofErr w:type="spellStart"/>
      <w:r w:rsidR="00985D46">
        <w:t>pseudotype</w:t>
      </w:r>
      <w:proofErr w:type="spellEnd"/>
      <w:r w:rsidR="00985D46">
        <w:t xml:space="preserve"> lentiviral virions with SARS-CoV-2 </w:t>
      </w:r>
      <w:proofErr w:type="gramStart"/>
      <w:r w:rsidR="00985D46">
        <w:t>Spike, and</w:t>
      </w:r>
      <w:proofErr w:type="gramEnd"/>
      <w:r w:rsidR="00985D46">
        <w:t xml:space="preserve"> make all the </w:t>
      </w:r>
      <w:r w:rsidR="00967F60">
        <w:t xml:space="preserve">experimental </w:t>
      </w:r>
      <w:r w:rsidR="007B142B">
        <w:t xml:space="preserve">reagents available in </w:t>
      </w:r>
      <w:r w:rsidR="00363632">
        <w:t>the BEI Resources repository of ATCC and the NIH.</w:t>
      </w:r>
      <w:r w:rsidR="000E592B">
        <w:t xml:space="preserve"> Furthermore, we </w:t>
      </w:r>
      <w:r w:rsidR="00BF1E76">
        <w:t>demonstrate</w:t>
      </w:r>
      <w:r w:rsidR="0001299B">
        <w:t xml:space="preserve"> how</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xml:space="preserve">, thereby providing a valuable complement to </w:t>
      </w:r>
      <w:r w:rsidR="001271B0">
        <w:t xml:space="preserve">methods that </w:t>
      </w:r>
      <w:r w:rsidR="00074CDF">
        <w:t xml:space="preserve">simply </w:t>
      </w:r>
      <w:r w:rsidR="001271B0">
        <w:t>measur</w:t>
      </w:r>
      <w:r w:rsidR="00BF687D">
        <w:t>e</w:t>
      </w:r>
      <w:r w:rsidR="001271B0">
        <w:t xml:space="preserve"> </w:t>
      </w:r>
      <w:r w:rsidR="00BF1E76">
        <w:t>antibody binding rather than neutralization</w:t>
      </w:r>
      <w:r w:rsidR="001271B0">
        <w:t>.</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1FDBA816" w:rsidR="00181401" w:rsidRDefault="00804145" w:rsidP="00D2075C">
      <w:pPr>
        <w:pStyle w:val="MDPI31text"/>
        <w:ind w:firstLine="0"/>
      </w:pPr>
      <w:bookmarkStart w:id="0" w:name="OLE_LINK1"/>
      <w:bookmarkStart w:id="1" w:name="OLE_LINK2"/>
      <w:r>
        <w:t>I</w:t>
      </w:r>
      <w:r w:rsidR="00605102">
        <w:t>nfection with SARS-CoV-2 elicits antibodies</w:t>
      </w:r>
      <w:r w:rsidR="00D86915">
        <w:t xml:space="preserve"> that bind to the virus</w:t>
      </w:r>
      <w:r w:rsidR="00074457">
        <w:t xml:space="preserve"> [</w:t>
      </w:r>
      <w:r w:rsidR="00074457" w:rsidRPr="00074457">
        <w:rPr>
          <w:color w:val="FF0000"/>
        </w:rPr>
        <w:t>CITE</w:t>
      </w:r>
      <w:r w:rsidR="00074457">
        <w:t>]</w:t>
      </w:r>
      <w:r w:rsidR="000424C0">
        <w:t>.</w:t>
      </w:r>
      <w:r>
        <w:t xml:space="preserve"> But as is the case for all viruses</w:t>
      </w:r>
      <w:r w:rsidR="00D616D7">
        <w:t xml:space="preserve"> </w:t>
      </w:r>
      <w:r w:rsidR="00D616D7">
        <w:t>[</w:t>
      </w:r>
      <w:r w:rsidR="00D616D7" w:rsidRPr="00074457">
        <w:rPr>
          <w:color w:val="FF0000"/>
        </w:rPr>
        <w:t>CITE</w:t>
      </w:r>
      <w:r w:rsidR="00D616D7">
        <w:t>]</w:t>
      </w:r>
      <w:r>
        <w:t xml:space="preserve">, only some of these antibodies </w:t>
      </w:r>
      <w:r w:rsidR="003C4CD7">
        <w:t xml:space="preserve">directly </w:t>
      </w:r>
      <w:r>
        <w:t>neutralize</w:t>
      </w:r>
      <w:r w:rsidR="003C4CD7">
        <w:t xml:space="preserve"> the virus’s ability to enter cells</w:t>
      </w:r>
      <w:r w:rsidR="00074457">
        <w:t xml:space="preserve"> </w:t>
      </w:r>
      <w:r w:rsidR="00074457">
        <w:t>[</w:t>
      </w:r>
      <w:r w:rsidR="00074457" w:rsidRPr="00074457">
        <w:rPr>
          <w:color w:val="FF0000"/>
        </w:rPr>
        <w:t>CITE</w:t>
      </w:r>
      <w:r w:rsidR="00074457">
        <w:t>].</w:t>
      </w:r>
      <w:r w:rsidR="00427DC5">
        <w:t xml:space="preserve"> While studies of immunity to SARS-CoV-2</w:t>
      </w:r>
      <w:r w:rsidR="00B82C73">
        <w:t xml:space="preserve"> are still limited, for many other viruses neutralizing antibodies are more strongly correlated with protection against re-infection or diseases</w:t>
      </w:r>
      <w:r w:rsidR="00E55A0B">
        <w:t xml:space="preserve"> than are antibodies that bind but do not neutralize the virus</w:t>
      </w:r>
      <w:r w:rsidR="00212C49">
        <w:t xml:space="preserve"> </w:t>
      </w:r>
      <w:r w:rsidR="00212C49">
        <w:t>[</w:t>
      </w:r>
      <w:r w:rsidR="00212C49" w:rsidRPr="00074457">
        <w:rPr>
          <w:color w:val="FF0000"/>
        </w:rPr>
        <w:t>CITE</w:t>
      </w:r>
      <w:r w:rsidR="00212C49">
        <w:t>]</w:t>
      </w:r>
      <w:r w:rsidR="00E55A0B">
        <w:t>.</w:t>
      </w:r>
      <w:r w:rsidR="00E17029">
        <w:t xml:space="preserve"> Indeed, </w:t>
      </w:r>
      <w:r w:rsidR="00920345">
        <w:t>for</w:t>
      </w:r>
      <w:r w:rsidR="00E17029">
        <w:t xml:space="preserve"> other coronaviruses</w:t>
      </w:r>
      <w:r w:rsidR="00266D3D">
        <w:t>,</w:t>
      </w:r>
      <w:r w:rsidR="00920345">
        <w:t xml:space="preserve"> neutralizing antibodies</w:t>
      </w:r>
      <w:r w:rsidR="00AF667A">
        <w:t xml:space="preserve"> are associated with at least some reduced susceptibility to re-infection or disease </w:t>
      </w:r>
      <w:r w:rsidR="00AF667A">
        <w:t>[</w:t>
      </w:r>
      <w:r w:rsidR="00AF667A" w:rsidRPr="00074457">
        <w:rPr>
          <w:color w:val="FF0000"/>
        </w:rPr>
        <w:t>CITE</w:t>
      </w:r>
      <w:r w:rsidR="00AF667A">
        <w:t>]</w:t>
      </w:r>
      <w:r w:rsidR="00266D3D">
        <w:t>—and anecdotal studies suggest that passive transfer of neutralizing antibodies</w:t>
      </w:r>
      <w:r w:rsidR="00325AE9">
        <w:t xml:space="preserve"> to sick patients may </w:t>
      </w:r>
      <w:r w:rsidR="00287499">
        <w:t>help alleviate</w:t>
      </w:r>
      <w:r w:rsidR="00325AE9">
        <w:t xml:space="preserve"> disease </w:t>
      </w:r>
      <w:r w:rsidR="00287499">
        <w:t>from</w:t>
      </w:r>
      <w:r w:rsidR="00325AE9">
        <w:t xml:space="preserve"> SARS-CoV-2 and </w:t>
      </w:r>
      <w:r w:rsidR="00A57F20">
        <w:t>its close relative SARS-</w:t>
      </w:r>
      <w:proofErr w:type="spellStart"/>
      <w:r w:rsidR="00A57F20">
        <w:t>CoV</w:t>
      </w:r>
      <w:proofErr w:type="spellEnd"/>
      <w:r w:rsidR="00A57F20">
        <w:t xml:space="preserve"> </w:t>
      </w:r>
      <w:r w:rsidR="00A57F20">
        <w:t>[</w:t>
      </w:r>
      <w:r w:rsidR="00A57F20" w:rsidRPr="00074457">
        <w:rPr>
          <w:color w:val="FF0000"/>
        </w:rPr>
        <w:t>CITE</w:t>
      </w:r>
      <w:r w:rsidR="00A57F20">
        <w:t>].</w:t>
      </w:r>
    </w:p>
    <w:p w14:paraId="4229AAB5" w14:textId="617B3BE0" w:rsidR="00784F31" w:rsidRDefault="00784F31" w:rsidP="00D2075C">
      <w:pPr>
        <w:pStyle w:val="MDPI31text"/>
        <w:ind w:firstLine="0"/>
      </w:pPr>
      <w:r>
        <w:tab/>
        <w:t>But while there are now</w:t>
      </w:r>
      <w:r w:rsidR="00D31F3A">
        <w:t xml:space="preserve"> well-characterized and high-throughput methods (such as ELISA assays)</w:t>
      </w:r>
      <w:r w:rsidR="006C5BC1">
        <w:t xml:space="preserve"> to measure total antibody binding to SARS-CoV-2 or some of its </w:t>
      </w:r>
      <w:r w:rsidR="00A43AF7">
        <w:t xml:space="preserve">key </w:t>
      </w:r>
      <w:r w:rsidR="006C5BC1">
        <w:t xml:space="preserve">constituent proteins </w:t>
      </w:r>
      <w:r w:rsidR="006C5BC1">
        <w:t>[</w:t>
      </w:r>
      <w:r w:rsidR="006C5BC1" w:rsidRPr="00074457">
        <w:rPr>
          <w:color w:val="FF0000"/>
        </w:rPr>
        <w:t>CITE</w:t>
      </w:r>
      <w:r w:rsidR="006C5BC1">
        <w:t>]</w:t>
      </w:r>
      <w:r w:rsidR="00A43AF7">
        <w:t xml:space="preserve">, </w:t>
      </w:r>
      <w:r w:rsidR="00562C98">
        <w:t>quantifying</w:t>
      </w:r>
      <w:r w:rsidR="00A43AF7">
        <w:t xml:space="preserve"> neutralizing antibody activity is more difficult. </w:t>
      </w:r>
      <w:r w:rsidR="00CE5EC0">
        <w:t>Probably t</w:t>
      </w:r>
      <w:r w:rsidR="003E28FF">
        <w:t>he</w:t>
      </w:r>
      <w:r w:rsidR="00CE5EC0">
        <w:t xml:space="preserve"> most relevant </w:t>
      </w:r>
      <w:r w:rsidR="00CE5EC0">
        <w:lastRenderedPageBreak/>
        <w:t xml:space="preserve">method to </w:t>
      </w:r>
      <w:r w:rsidR="00562C98">
        <w:t>quantify</w:t>
      </w:r>
      <w:r w:rsidR="00CE5EC0">
        <w:t xml:space="preserve"> neutralizing activity</w:t>
      </w:r>
      <w:r w:rsidR="00562C98">
        <w:t xml:space="preserve"> is</w:t>
      </w:r>
      <w:r w:rsidR="00CE5EC0">
        <w:t xml:space="preserve"> </w:t>
      </w:r>
      <w:r w:rsidR="00712772">
        <w:t>to directly assay</w:t>
      </w:r>
      <w:r w:rsidR="00256504">
        <w:t xml:space="preserve"> how antibodies or sera inhibit infection of cells by SARS-CoV-2</w:t>
      </w:r>
      <w:r w:rsidR="00674009">
        <w:t xml:space="preserve"> in the lab. </w:t>
      </w:r>
      <w:r w:rsidR="00E25C20">
        <w:t>Such live-virus assays</w:t>
      </w:r>
      <w:r w:rsidR="003A0FCA">
        <w:t xml:space="preserve"> have now been performed to quantify the neutralizing activity in the sera of infected patients</w:t>
      </w:r>
      <w:r w:rsidR="00F3427B">
        <w:t xml:space="preserve"> </w:t>
      </w:r>
      <w:r w:rsidR="00F3427B">
        <w:t>[</w:t>
      </w:r>
      <w:r w:rsidR="00F3427B" w:rsidRPr="00074457">
        <w:rPr>
          <w:color w:val="FF0000"/>
        </w:rPr>
        <w:t>CITE</w:t>
      </w:r>
      <w:r w:rsidR="00F3427B">
        <w:t>]</w:t>
      </w:r>
      <w:r w:rsidR="00DE57BF">
        <w:t xml:space="preserve"> or to characterize the potency of individual antibodies</w:t>
      </w:r>
      <w:r w:rsidR="00F3427B">
        <w:t xml:space="preserve"> </w:t>
      </w:r>
      <w:r w:rsidR="00F3427B">
        <w:t>[</w:t>
      </w:r>
      <w:r w:rsidR="00F3427B" w:rsidRPr="00074457">
        <w:rPr>
          <w:color w:val="FF0000"/>
        </w:rPr>
        <w:t>CITE</w:t>
      </w:r>
      <w:r w:rsidR="00F3427B">
        <w:t>]</w:t>
      </w:r>
      <w:r w:rsidR="00DE57BF">
        <w:t xml:space="preserve">. However, the throughput and accessibility of </w:t>
      </w:r>
      <w:r w:rsidR="00E17E43">
        <w:t>live-virus neutralization assays with SARS-CoV-2 is limited by the fact that the virus is a biosafety-level-3 agent that must be worked with in specialized high-containment facilities</w:t>
      </w:r>
      <w:r w:rsidR="00F3427B">
        <w:t xml:space="preserve"> </w:t>
      </w:r>
      <w:r w:rsidR="00F3427B">
        <w:t>[</w:t>
      </w:r>
      <w:r w:rsidR="00F3427B" w:rsidRPr="00074457">
        <w:rPr>
          <w:color w:val="FF0000"/>
        </w:rPr>
        <w:t>CITE</w:t>
      </w:r>
      <w:r w:rsidR="00F3427B">
        <w:t>].</w:t>
      </w:r>
    </w:p>
    <w:p w14:paraId="262CC4C3" w14:textId="59DDF90B" w:rsidR="00B74FD9" w:rsidRDefault="00B74FD9" w:rsidP="00D2075C">
      <w:pPr>
        <w:pStyle w:val="MDPI31text"/>
        <w:ind w:firstLine="0"/>
      </w:pPr>
      <w:r>
        <w:tab/>
      </w:r>
      <w:r w:rsidR="00A00AA8">
        <w:t xml:space="preserve">An alternative approach that alleviates these biosafety </w:t>
      </w:r>
      <w:r w:rsidR="00D364D0">
        <w:t>limitations</w:t>
      </w:r>
      <w:r w:rsidR="00B234E8">
        <w:t xml:space="preserve"> </w:t>
      </w:r>
      <w:r w:rsidR="00092982">
        <w:t>leverages</w:t>
      </w:r>
      <w:r w:rsidR="00B234E8">
        <w:t xml:space="preserve"> the fact that all known neutralizing antibodies to SARS-CoV-2 and related coronaviruses</w:t>
      </w:r>
      <w:r w:rsidR="00EC3455">
        <w:t xml:space="preserve"> target the virus</w:t>
      </w:r>
      <w:r w:rsidR="00CC6B54">
        <w:t>’s Spike protein</w:t>
      </w:r>
      <w:r w:rsidR="00E72744">
        <w:t xml:space="preserve"> </w:t>
      </w:r>
      <w:r w:rsidR="00E72744">
        <w:t>[</w:t>
      </w:r>
      <w:r w:rsidR="00E72744" w:rsidRPr="00074457">
        <w:rPr>
          <w:color w:val="FF0000"/>
        </w:rPr>
        <w:t>CITE</w:t>
      </w:r>
      <w:r w:rsidR="00DE0A40">
        <w:rPr>
          <w:color w:val="FF0000"/>
        </w:rPr>
        <w:t>, add something about HE</w:t>
      </w:r>
      <w:r w:rsidR="00E72744">
        <w:t>].</w:t>
      </w:r>
      <w:r w:rsidR="00CC6B54">
        <w:t xml:space="preserve"> Spike is the main protein on the surface of SARS-CoV-</w:t>
      </w:r>
      <w:proofErr w:type="gramStart"/>
      <w:r w:rsidR="00CC6B54">
        <w:t>2</w:t>
      </w:r>
      <w:r w:rsidR="00E72744">
        <w:t>, and</w:t>
      </w:r>
      <w:proofErr w:type="gramEnd"/>
      <w:r w:rsidR="00E72744">
        <w:t xml:space="preserve"> is necessary and sufficient to enable the virus to bind and enter cells </w:t>
      </w:r>
      <w:r w:rsidR="00E72744">
        <w:t>[</w:t>
      </w:r>
      <w:r w:rsidR="00E72744" w:rsidRPr="00074457">
        <w:rPr>
          <w:color w:val="FF0000"/>
        </w:rPr>
        <w:t>CITE</w:t>
      </w:r>
      <w:r w:rsidR="00E72744">
        <w:t>].</w:t>
      </w:r>
      <w:r w:rsidR="00FE383D">
        <w:t xml:space="preserve"> Spike from SARS-CoV-2 and other coronaviruses can be “</w:t>
      </w:r>
      <w:proofErr w:type="spellStart"/>
      <w:r w:rsidR="00FE383D">
        <w:t>pseudotyped</w:t>
      </w:r>
      <w:proofErr w:type="spellEnd"/>
      <w:r w:rsidR="00FE383D">
        <w:t>” onto safer non-replicative</w:t>
      </w:r>
      <w:r w:rsidR="00365E65">
        <w:t xml:space="preserve"> virions in place of their endogenous entry protein</w:t>
      </w:r>
      <w:r w:rsidR="00D85FFB">
        <w:t>, thereby making entry of these virions into cells dependent</w:t>
      </w:r>
      <w:r w:rsidR="00E21748">
        <w:t xml:space="preserve"> on Spike</w:t>
      </w:r>
      <w:r w:rsidR="009537A4">
        <w:t xml:space="preserve"> </w:t>
      </w:r>
      <w:r w:rsidR="009537A4">
        <w:t>[</w:t>
      </w:r>
      <w:r w:rsidR="009537A4" w:rsidRPr="00074457">
        <w:rPr>
          <w:color w:val="FF0000"/>
        </w:rPr>
        <w:t>CITE</w:t>
      </w:r>
      <w:r w:rsidR="009537A4">
        <w:t>].</w:t>
      </w:r>
      <w:r w:rsidR="009537A4">
        <w:t xml:space="preserve"> For SARS-CoV-2, such </w:t>
      </w:r>
      <w:proofErr w:type="spellStart"/>
      <w:r w:rsidR="009537A4">
        <w:t>pseudotyping</w:t>
      </w:r>
      <w:proofErr w:type="spellEnd"/>
      <w:r w:rsidR="009537A4">
        <w:t xml:space="preserve"> has </w:t>
      </w:r>
      <w:r w:rsidR="009675C3">
        <w:t>recently</w:t>
      </w:r>
      <w:r w:rsidR="009537A4">
        <w:t xml:space="preserve"> been reported using</w:t>
      </w:r>
      <w:r w:rsidR="00862C22">
        <w:t xml:space="preserve"> HIV-based lentiviral virions </w:t>
      </w:r>
      <w:r w:rsidR="00862C22">
        <w:t>[</w:t>
      </w:r>
      <w:r w:rsidR="00862C22" w:rsidRPr="00074457">
        <w:rPr>
          <w:color w:val="FF0000"/>
        </w:rPr>
        <w:t>CITE</w:t>
      </w:r>
      <w:r w:rsidR="00862C22">
        <w:t>]</w:t>
      </w:r>
      <w:r w:rsidR="00862C22">
        <w:t xml:space="preserve">, MLV-based retroviral virions </w:t>
      </w:r>
      <w:r w:rsidR="00862C22">
        <w:t>[</w:t>
      </w:r>
      <w:r w:rsidR="00862C22" w:rsidRPr="00074457">
        <w:rPr>
          <w:color w:val="FF0000"/>
        </w:rPr>
        <w:t>CITE</w:t>
      </w:r>
      <w:r w:rsidR="00862C22">
        <w:t>]</w:t>
      </w:r>
      <w:r w:rsidR="00862C22">
        <w:t xml:space="preserve">, and VSV </w:t>
      </w:r>
      <w:r w:rsidR="00862C22">
        <w:t>[</w:t>
      </w:r>
      <w:r w:rsidR="00862C22" w:rsidRPr="00074457">
        <w:rPr>
          <w:color w:val="FF0000"/>
        </w:rPr>
        <w:t>CITE</w:t>
      </w:r>
      <w:r w:rsidR="00862C22">
        <w:t>]</w:t>
      </w:r>
      <w:r w:rsidR="00862C22">
        <w:t>.</w:t>
      </w:r>
      <w:r w:rsidR="009537A4">
        <w:t xml:space="preserve"> </w:t>
      </w:r>
      <w:r w:rsidR="008250B5">
        <w:t xml:space="preserve">In the limited data reported to date, results from such </w:t>
      </w:r>
      <w:proofErr w:type="spellStart"/>
      <w:r w:rsidR="008250B5">
        <w:t>pseudovirus</w:t>
      </w:r>
      <w:proofErr w:type="spellEnd"/>
      <w:r w:rsidR="008250B5">
        <w:t xml:space="preserve"> neutralization assays correlate well with </w:t>
      </w:r>
      <w:r w:rsidR="00092982">
        <w:t>measurements made using live SARS-CoV-2</w:t>
      </w:r>
      <w:r w:rsidR="00173E2D">
        <w:t xml:space="preserve"> </w:t>
      </w:r>
      <w:r w:rsidR="00173E2D">
        <w:t>[</w:t>
      </w:r>
      <w:r w:rsidR="00173E2D" w:rsidRPr="00074457">
        <w:rPr>
          <w:color w:val="FF0000"/>
        </w:rPr>
        <w:t>CITE</w:t>
      </w:r>
      <w:r w:rsidR="00173E2D">
        <w:t>]</w:t>
      </w:r>
      <w:bookmarkStart w:id="2" w:name="_GoBack"/>
      <w:bookmarkEnd w:id="2"/>
      <w:r w:rsidR="00092982">
        <w:t xml:space="preserve">. </w:t>
      </w:r>
      <w:r w:rsidR="00F3194F">
        <w:t>However, the papers describing th</w:t>
      </w:r>
      <w:r w:rsidR="007C64C8">
        <w:t xml:space="preserve">ese </w:t>
      </w:r>
      <w:proofErr w:type="spellStart"/>
      <w:r w:rsidR="007C64C8">
        <w:t>pseudotyping</w:t>
      </w:r>
      <w:proofErr w:type="spellEnd"/>
      <w:r w:rsidR="007C64C8">
        <w:t xml:space="preserve"> assays </w:t>
      </w:r>
      <w:r w:rsidR="00F3194F">
        <w:t>have generally focused on other biological questions, and only provided</w:t>
      </w:r>
      <w:r w:rsidR="00FC0BB0">
        <w:t xml:space="preserve"> brief descriptions of the assay</w:t>
      </w:r>
      <w:r w:rsidR="00D5078F">
        <w:t xml:space="preserve">s, which in many cases rely on reagents not yet </w:t>
      </w:r>
      <w:r w:rsidR="00BB0C20">
        <w:t>widely</w:t>
      </w:r>
      <w:r w:rsidR="00D5078F">
        <w:t xml:space="preserve"> available to the scientific community.</w:t>
      </w:r>
    </w:p>
    <w:p w14:paraId="285F9846" w14:textId="34684FC1" w:rsidR="00D5078F" w:rsidRPr="00325902" w:rsidRDefault="00D5078F" w:rsidP="00D2075C">
      <w:pPr>
        <w:pStyle w:val="MDPI31text"/>
        <w:ind w:firstLine="0"/>
      </w:pPr>
      <w:r>
        <w:tab/>
        <w:t>Here we fill this gap by providing a detailed description of how</w:t>
      </w:r>
      <w:r w:rsidR="008250B5">
        <w:t xml:space="preserve"> to </w:t>
      </w:r>
      <w:proofErr w:type="spellStart"/>
      <w:r w:rsidR="008250B5">
        <w:t>pseudotype</w:t>
      </w:r>
      <w:proofErr w:type="spellEnd"/>
      <w:r w:rsidR="008250B5">
        <w:t xml:space="preserve"> lentiviral </w:t>
      </w:r>
      <w:r w:rsidR="00C50A66">
        <w:t>virions</w:t>
      </w:r>
      <w:r w:rsidR="008250B5">
        <w:t xml:space="preserve"> with Spike</w:t>
      </w:r>
      <w:r w:rsidR="00BB0C20">
        <w:t xml:space="preserve">. We </w:t>
      </w:r>
      <w:r w:rsidR="00842E21">
        <w:t>explain</w:t>
      </w:r>
      <w:r w:rsidR="00C50A66">
        <w:t xml:space="preserve"> how these </w:t>
      </w:r>
      <w:proofErr w:type="spellStart"/>
      <w:r w:rsidR="00C50A66">
        <w:t>pseudotyped</w:t>
      </w:r>
      <w:proofErr w:type="spellEnd"/>
      <w:r w:rsidR="00C50A66">
        <w:t xml:space="preserve"> virions can be used to conveniently measure Spike-mediated cell entry </w:t>
      </w:r>
      <w:r w:rsidR="00034B84">
        <w:t>via</w:t>
      </w:r>
      <w:r w:rsidR="00183322">
        <w:t xml:space="preserve"> fluorescent or luciferase reporters, and how they can be used to quantify the neutralizing activity of human sera. Finally, we </w:t>
      </w:r>
      <w:r w:rsidR="009D4CBB">
        <w:t xml:space="preserve">describe all the necessary experimental reagents in </w:t>
      </w:r>
      <w:proofErr w:type="gramStart"/>
      <w:r w:rsidR="009D4CBB">
        <w:t>detail</w:t>
      </w:r>
      <w:r w:rsidR="00032B6A">
        <w:t>, and</w:t>
      </w:r>
      <w:proofErr w:type="gramEnd"/>
      <w:r w:rsidR="00842E21">
        <w:t xml:space="preserve"> make them available in </w:t>
      </w:r>
      <w:r w:rsidR="00827475">
        <w:t xml:space="preserve">the </w:t>
      </w:r>
      <w:r w:rsidR="00842E21">
        <w:t>BEI Resources reagent repository.</w:t>
      </w:r>
      <w:r w:rsidR="00032B6A">
        <w:t xml:space="preserve"> </w:t>
      </w:r>
      <w:r w:rsidR="00C50A66">
        <w:t xml:space="preserve"> </w:t>
      </w:r>
      <w:r>
        <w:t xml:space="preserve"> </w:t>
      </w:r>
    </w:p>
    <w:bookmarkEnd w:id="0"/>
    <w:bookmarkEnd w:id="1"/>
    <w:p w14:paraId="1434DC97" w14:textId="1A343C3C" w:rsidR="00181401" w:rsidRPr="00325902" w:rsidRDefault="007B5FA4" w:rsidP="00181401">
      <w:pPr>
        <w:pStyle w:val="MDPI21heading1"/>
      </w:pPr>
      <w:r>
        <w:t>2</w:t>
      </w:r>
      <w:r w:rsidR="00181401" w:rsidRPr="00325902">
        <w:t>. Results</w:t>
      </w:r>
    </w:p>
    <w:p w14:paraId="40DD45D0" w14:textId="2C038062" w:rsidR="00181401" w:rsidRPr="00325902" w:rsidRDefault="007B5FA4" w:rsidP="00181401">
      <w:pPr>
        <w:pStyle w:val="MDPI22heading2"/>
      </w:pPr>
      <w:r>
        <w:t>2</w:t>
      </w:r>
      <w:r w:rsidR="00181401" w:rsidRPr="00325902">
        <w:t xml:space="preserve">.1. </w:t>
      </w:r>
      <w:r w:rsidR="00A0791D">
        <w:t>General approach for pseudotyping lentiviral particles with SARS-CoV-2 Spike</w:t>
      </w:r>
      <w:r w:rsidR="006C5456">
        <w:t>.</w:t>
      </w:r>
    </w:p>
    <w:p w14:paraId="63D9BCCB" w14:textId="065B5B8F" w:rsidR="00181401" w:rsidRDefault="007B5FA4" w:rsidP="00181401">
      <w:pPr>
        <w:pStyle w:val="MDPI22heading2"/>
      </w:pPr>
      <w:r>
        <w:t>2</w:t>
      </w:r>
      <w:r w:rsidR="00181401" w:rsidRPr="00325902">
        <w:t xml:space="preserve">.2. </w:t>
      </w:r>
      <w:r w:rsidR="00B9677A">
        <w:t xml:space="preserve">Target 293T cells constititutively expressing </w:t>
      </w:r>
      <w:r w:rsidR="00FB024F">
        <w:t>Spike’s ACE2 receptor</w:t>
      </w:r>
      <w:r w:rsidR="006C5456">
        <w:t>.</w:t>
      </w:r>
    </w:p>
    <w:p w14:paraId="0D55F6C2" w14:textId="18A4C744" w:rsidR="00FB024F" w:rsidRDefault="00FB024F" w:rsidP="00FB024F">
      <w:pPr>
        <w:pStyle w:val="MDPI22heading2"/>
      </w:pPr>
      <w:r>
        <w:t>2</w:t>
      </w:r>
      <w:r w:rsidRPr="00325902">
        <w:t>.</w:t>
      </w:r>
      <w:r w:rsidR="00CF705A">
        <w:t>3</w:t>
      </w:r>
      <w:r w:rsidRPr="00325902">
        <w:t xml:space="preserve">. </w:t>
      </w:r>
      <w:r>
        <w:t xml:space="preserve">Titers of pseudotyped lentiviral particles with different Spike </w:t>
      </w:r>
      <w:r w:rsidR="00CF705A">
        <w:t xml:space="preserve">cytoplasmic tail </w:t>
      </w:r>
      <w:r>
        <w:t>variants</w:t>
      </w:r>
      <w:r w:rsidR="006C5456">
        <w:t>.</w:t>
      </w:r>
    </w:p>
    <w:p w14:paraId="4F2DA51F" w14:textId="2FB1FFB1" w:rsidR="00CF705A" w:rsidRPr="00325902" w:rsidRDefault="00CF705A" w:rsidP="00FB024F">
      <w:pPr>
        <w:pStyle w:val="MDPI22heading2"/>
      </w:pPr>
      <w:r>
        <w:t>2.4. Neutralization assays with the Spike-pseudotyped lentiviral particles.</w:t>
      </w:r>
    </w:p>
    <w:p w14:paraId="5CCC5812" w14:textId="77777777" w:rsidR="00FB024F" w:rsidRPr="00325902" w:rsidRDefault="00FB024F" w:rsidP="00181401">
      <w:pPr>
        <w:pStyle w:val="MDPI22heading2"/>
      </w:pPr>
    </w:p>
    <w:p w14:paraId="332CA777" w14:textId="77777777" w:rsidR="00181401" w:rsidRPr="00325902" w:rsidRDefault="00181401" w:rsidP="00181401">
      <w:pPr>
        <w:pStyle w:val="MDPI33textspaceafter"/>
      </w:pPr>
      <w:r w:rsidRPr="00325902">
        <w:t xml:space="preserve">All figures and tables should be cited in the main text as Figure 1, Table 1, </w:t>
      </w:r>
      <w:r w:rsidRPr="00325902">
        <w:rPr>
          <w:i/>
        </w:rPr>
        <w:t>etc</w:t>
      </w:r>
      <w:r w:rsidRPr="00325902">
        <w:t>.</w:t>
      </w:r>
    </w:p>
    <w:tbl>
      <w:tblPr>
        <w:tblW w:w="0" w:type="auto"/>
        <w:tblLook w:val="04A0" w:firstRow="1" w:lastRow="0" w:firstColumn="1" w:lastColumn="0" w:noHBand="0" w:noVBand="1"/>
      </w:tblPr>
      <w:tblGrid>
        <w:gridCol w:w="4422"/>
        <w:gridCol w:w="4422"/>
      </w:tblGrid>
      <w:tr w:rsidR="00181401" w:rsidRPr="00325902" w14:paraId="172135A1" w14:textId="77777777" w:rsidTr="00627F2D">
        <w:tc>
          <w:tcPr>
            <w:tcW w:w="4779" w:type="dxa"/>
            <w:shd w:val="clear" w:color="auto" w:fill="auto"/>
          </w:tcPr>
          <w:p w14:paraId="53215366" w14:textId="77777777" w:rsidR="00181401" w:rsidRPr="00325902" w:rsidRDefault="00C721F5" w:rsidP="00627F2D">
            <w:pPr>
              <w:pStyle w:val="MDPI52figure"/>
              <w:adjustRightInd w:val="0"/>
              <w:snapToGrid w:val="0"/>
            </w:pPr>
            <w:r w:rsidRPr="00181401">
              <w:rPr>
                <w:noProof/>
                <w:snapToGrid/>
                <w:lang w:eastAsia="zh-CN" w:bidi="ar-SA"/>
              </w:rPr>
              <w:drawing>
                <wp:inline distT="0" distB="0" distL="0" distR="0" wp14:anchorId="5BF571E0" wp14:editId="721E8792">
                  <wp:extent cx="1261745" cy="1261745"/>
                  <wp:effectExtent l="0" t="0" r="0"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solidFill>
                            <a:srgbClr val="FFFFFF"/>
                          </a:solidFill>
                          <a:ln>
                            <a:noFill/>
                          </a:ln>
                        </pic:spPr>
                      </pic:pic>
                    </a:graphicData>
                  </a:graphic>
                </wp:inline>
              </w:drawing>
            </w:r>
          </w:p>
          <w:p w14:paraId="408961B9" w14:textId="77777777" w:rsidR="00181401" w:rsidRPr="00325902" w:rsidRDefault="00181401" w:rsidP="00627F2D">
            <w:pPr>
              <w:pStyle w:val="MDPI52figure"/>
              <w:adjustRightInd w:val="0"/>
              <w:snapToGrid w:val="0"/>
              <w:rPr>
                <w:sz w:val="20"/>
              </w:rPr>
            </w:pPr>
            <w:r w:rsidRPr="00325902">
              <w:rPr>
                <w:sz w:val="20"/>
              </w:rPr>
              <w:t>(</w:t>
            </w:r>
            <w:r w:rsidRPr="00325902">
              <w:rPr>
                <w:b/>
                <w:sz w:val="20"/>
              </w:rPr>
              <w:t>a</w:t>
            </w:r>
            <w:r w:rsidRPr="00325902">
              <w:rPr>
                <w:sz w:val="20"/>
              </w:rPr>
              <w:t>)</w:t>
            </w:r>
          </w:p>
        </w:tc>
        <w:tc>
          <w:tcPr>
            <w:tcW w:w="4780" w:type="dxa"/>
            <w:shd w:val="clear" w:color="auto" w:fill="auto"/>
          </w:tcPr>
          <w:p w14:paraId="7176BEBC" w14:textId="77777777" w:rsidR="00181401" w:rsidRPr="00325902" w:rsidRDefault="00C721F5" w:rsidP="00627F2D">
            <w:pPr>
              <w:pStyle w:val="MDPI52figure"/>
              <w:adjustRightInd w:val="0"/>
              <w:snapToGrid w:val="0"/>
            </w:pPr>
            <w:r w:rsidRPr="00181401">
              <w:rPr>
                <w:noProof/>
                <w:snapToGrid/>
                <w:lang w:eastAsia="zh-CN" w:bidi="ar-SA"/>
              </w:rPr>
              <w:drawing>
                <wp:inline distT="0" distB="0" distL="0" distR="0" wp14:anchorId="1843ED25" wp14:editId="00ED56B9">
                  <wp:extent cx="1261745" cy="1261745"/>
                  <wp:effectExtent l="0" t="0" r="0" b="0"/>
                  <wp:docPr id="2" name="Picture 2"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solidFill>
                            <a:srgbClr val="FFFFFF"/>
                          </a:solidFill>
                          <a:ln>
                            <a:noFill/>
                          </a:ln>
                        </pic:spPr>
                      </pic:pic>
                    </a:graphicData>
                  </a:graphic>
                </wp:inline>
              </w:drawing>
            </w:r>
          </w:p>
          <w:p w14:paraId="73802BE7" w14:textId="77777777" w:rsidR="00181401" w:rsidRPr="00325902" w:rsidRDefault="00181401" w:rsidP="00627F2D">
            <w:pPr>
              <w:pStyle w:val="MDPI52figure"/>
              <w:adjustRightInd w:val="0"/>
              <w:snapToGrid w:val="0"/>
              <w:rPr>
                <w:sz w:val="20"/>
              </w:rPr>
            </w:pPr>
            <w:r w:rsidRPr="00325902">
              <w:rPr>
                <w:sz w:val="20"/>
              </w:rPr>
              <w:t>(</w:t>
            </w:r>
            <w:r w:rsidRPr="00325902">
              <w:rPr>
                <w:b/>
                <w:sz w:val="20"/>
              </w:rPr>
              <w:t>b</w:t>
            </w:r>
            <w:r w:rsidRPr="00325902">
              <w:rPr>
                <w:sz w:val="20"/>
              </w:rPr>
              <w:t>)</w:t>
            </w:r>
          </w:p>
        </w:tc>
      </w:tr>
    </w:tbl>
    <w:p w14:paraId="70132CF0" w14:textId="77777777" w:rsidR="00181401" w:rsidRPr="00325902" w:rsidRDefault="00181401" w:rsidP="00181401">
      <w:pPr>
        <w:pStyle w:val="MDPI51figurecaption"/>
      </w:pPr>
      <w:r w:rsidRPr="00325902">
        <w:rPr>
          <w:b/>
        </w:rPr>
        <w:t>Figure 1.</w:t>
      </w:r>
      <w:r w:rsidRPr="00325902">
        <w:t xml:space="preserve"> This is a </w:t>
      </w:r>
      <w:proofErr w:type="gramStart"/>
      <w:r w:rsidRPr="00325902">
        <w:t>figure,</w:t>
      </w:r>
      <w:proofErr w:type="gramEnd"/>
      <w:r w:rsidRPr="00325902">
        <w:t xml:space="preserve"> Schemes follow the same formatting. If there are multiple panels, they should be listed as: (</w:t>
      </w:r>
      <w:r w:rsidRPr="00325902">
        <w:rPr>
          <w:b/>
        </w:rPr>
        <w:t>a</w:t>
      </w:r>
      <w:r w:rsidRPr="00325902">
        <w:t>) Description of what is contained in the first panel; (</w:t>
      </w:r>
      <w:r w:rsidRPr="00325902">
        <w:rPr>
          <w:b/>
        </w:rPr>
        <w:t>b</w:t>
      </w:r>
      <w:r w:rsidRPr="00325902">
        <w:t>) Description of what is contained in the second panel. Figures should be placed in the main text near to the first time they are</w:t>
      </w:r>
      <w:r>
        <w:t xml:space="preserve"> </w:t>
      </w:r>
      <w:r w:rsidRPr="00325902">
        <w:t>cited. A caption on a single line should be centered.</w:t>
      </w:r>
    </w:p>
    <w:p w14:paraId="6C19CCAF" w14:textId="1A88B245" w:rsidR="00181401" w:rsidRPr="00325902" w:rsidRDefault="007B5FA4" w:rsidP="00181401">
      <w:pPr>
        <w:pStyle w:val="MDPI21heading1"/>
      </w:pPr>
      <w:r>
        <w:t>3</w:t>
      </w:r>
      <w:r w:rsidR="00181401" w:rsidRPr="00325902">
        <w:t>. Discussion</w:t>
      </w:r>
    </w:p>
    <w:p w14:paraId="34CE4B36" w14:textId="77777777" w:rsidR="00181401" w:rsidRPr="00325902" w:rsidRDefault="00181401" w:rsidP="00181401">
      <w:pPr>
        <w:pStyle w:val="MDPI31text"/>
      </w:pPr>
      <w:r w:rsidRPr="00325902">
        <w:lastRenderedPageBreak/>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CB880F7" w14:textId="6616FF29"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67D5050F" w14:textId="6A769D5F" w:rsidR="00E65C58" w:rsidRDefault="00E65C58" w:rsidP="000B4C54">
      <w:pPr>
        <w:pStyle w:val="MDPI61Supplementary"/>
        <w:rPr>
          <w:bCs/>
          <w:i/>
          <w:iCs/>
        </w:rPr>
      </w:pPr>
      <w:r>
        <w:rPr>
          <w:bCs/>
          <w:i/>
          <w:iCs/>
        </w:rPr>
        <w:t>4.1. Plasmid</w:t>
      </w:r>
      <w:r w:rsidR="004616E3">
        <w:rPr>
          <w:bCs/>
          <w:i/>
          <w:iCs/>
        </w:rPr>
        <w:t>s</w:t>
      </w:r>
      <w:r w:rsidR="006C5456">
        <w:rPr>
          <w:bCs/>
          <w:i/>
          <w:iCs/>
        </w:rPr>
        <w:t>.</w:t>
      </w:r>
    </w:p>
    <w:p w14:paraId="1A58B2FB" w14:textId="5E0A054B" w:rsidR="004616E3" w:rsidRDefault="004616E3" w:rsidP="000B4C54">
      <w:pPr>
        <w:pStyle w:val="MDPI61Supplementary"/>
        <w:rPr>
          <w:bCs/>
          <w:i/>
          <w:iCs/>
        </w:rPr>
      </w:pPr>
      <w:r>
        <w:rPr>
          <w:bCs/>
          <w:i/>
          <w:iCs/>
        </w:rPr>
        <w:t>4.2. Creation of 293T-ACE2 cells</w:t>
      </w:r>
      <w:r w:rsidR="006C5456">
        <w:rPr>
          <w:bCs/>
          <w:i/>
          <w:iCs/>
        </w:rPr>
        <w:t>.</w:t>
      </w:r>
    </w:p>
    <w:p w14:paraId="3A95EE27" w14:textId="4606C0CC" w:rsidR="00C74702" w:rsidRDefault="00C74702" w:rsidP="000B4C54">
      <w:pPr>
        <w:pStyle w:val="MDPI61Supplementary"/>
        <w:rPr>
          <w:bCs/>
          <w:i/>
          <w:iCs/>
        </w:rPr>
      </w:pPr>
      <w:r>
        <w:rPr>
          <w:bCs/>
          <w:i/>
          <w:iCs/>
        </w:rPr>
        <w:t xml:space="preserve">4.3 Detailed protocol for generation of </w:t>
      </w:r>
      <w:proofErr w:type="spellStart"/>
      <w:r>
        <w:rPr>
          <w:bCs/>
          <w:i/>
          <w:iCs/>
        </w:rPr>
        <w:t>pseudotyped</w:t>
      </w:r>
      <w:proofErr w:type="spellEnd"/>
      <w:r>
        <w:rPr>
          <w:bCs/>
          <w:i/>
          <w:iCs/>
        </w:rPr>
        <w:t xml:space="preserve"> lentiviral particles</w:t>
      </w:r>
      <w:r w:rsidR="006C5456">
        <w:rPr>
          <w:bCs/>
          <w:i/>
          <w:iCs/>
        </w:rPr>
        <w:t>.</w:t>
      </w:r>
    </w:p>
    <w:p w14:paraId="26305337" w14:textId="60F20B7F" w:rsidR="006C5456" w:rsidRPr="00E65C58" w:rsidRDefault="006C5456" w:rsidP="000B4C54">
      <w:pPr>
        <w:pStyle w:val="MDPI61Supplementary"/>
        <w:rPr>
          <w:bCs/>
          <w:i/>
          <w:iCs/>
        </w:rPr>
      </w:pPr>
      <w:r>
        <w:rPr>
          <w:bCs/>
          <w:i/>
          <w:iCs/>
        </w:rPr>
        <w:t>4.4 Detailed protocol for neutralization assays.</w:t>
      </w:r>
    </w:p>
    <w:p w14:paraId="4890572A" w14:textId="45F79F12"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00E2041B">
        <w:t>:</w:t>
      </w:r>
      <w:r w:rsidRPr="00325902">
        <w:t xml:space="preserve"> Fi</w:t>
      </w:r>
      <w:r w:rsidR="00E2041B">
        <w:t>le</w:t>
      </w:r>
      <w:r w:rsidRPr="00325902">
        <w:t xml:space="preserve"> S1: </w:t>
      </w:r>
      <w:r w:rsidR="00E2041B">
        <w:t xml:space="preserve">A zip file containing all the plasmid maps in </w:t>
      </w:r>
      <w:proofErr w:type="spellStart"/>
      <w:r w:rsidR="00E2041B">
        <w:t>Genbank</w:t>
      </w:r>
      <w:proofErr w:type="spellEnd"/>
      <w:r w:rsidR="00E2041B">
        <w:t xml:space="preserve"> format</w:t>
      </w:r>
      <w:r w:rsidRPr="00325902">
        <w:t xml:space="preserv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K.D.C and 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3"/>
      <w:r>
        <w:rPr>
          <w:b/>
        </w:rPr>
        <w:t>Funding</w:t>
      </w:r>
      <w:commentRangeEnd w:id="3"/>
      <w:r w:rsidR="0012224E">
        <w:rPr>
          <w:rStyle w:val="CommentReference"/>
          <w:rFonts w:ascii="Times New Roman" w:hAnsi="Times New Roman"/>
          <w:snapToGrid/>
          <w:lang w:bidi="ar-SA"/>
        </w:rPr>
        <w:commentReference w:id="3"/>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48446436"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4"/>
      <w:r w:rsidRPr="00325902">
        <w:t>The authors declare no conflict of interest</w:t>
      </w:r>
      <w:r w:rsidR="006B7F42">
        <w:t>.</w:t>
      </w:r>
      <w:commentRangeEnd w:id="4"/>
      <w:r w:rsidR="006B7F42">
        <w:rPr>
          <w:rStyle w:val="CommentReference"/>
          <w:rFonts w:ascii="Times New Roman" w:hAnsi="Times New Roman"/>
          <w:snapToGrid/>
          <w:lang w:bidi="ar-SA"/>
        </w:rPr>
        <w:commentReference w:id="4"/>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19"/>
      <w:headerReference w:type="default" r:id="rId20"/>
      <w:footerReference w:type="default" r:id="rId21"/>
      <w:headerReference w:type="first" r:id="rId22"/>
      <w:footerReference w:type="first" r:id="rId23"/>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4"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D84F2" w14:textId="77777777" w:rsidR="009C2453" w:rsidRDefault="009C2453">
      <w:pPr>
        <w:spacing w:line="240" w:lineRule="auto"/>
      </w:pPr>
      <w:r>
        <w:separator/>
      </w:r>
    </w:p>
  </w:endnote>
  <w:endnote w:type="continuationSeparator" w:id="0">
    <w:p w14:paraId="7D633054" w14:textId="77777777" w:rsidR="009C2453" w:rsidRDefault="009C2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9641C" w14:textId="77777777" w:rsidR="009C2453" w:rsidRDefault="009C2453">
      <w:pPr>
        <w:spacing w:line="240" w:lineRule="auto"/>
      </w:pPr>
      <w:r>
        <w:separator/>
      </w:r>
    </w:p>
  </w:footnote>
  <w:footnote w:type="continuationSeparator" w:id="0">
    <w:p w14:paraId="4B6E43DB" w14:textId="77777777" w:rsidR="009C2453" w:rsidRDefault="009C24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1299B"/>
    <w:rsid w:val="00032B6A"/>
    <w:rsid w:val="00034B84"/>
    <w:rsid w:val="000424C0"/>
    <w:rsid w:val="0004621F"/>
    <w:rsid w:val="00071349"/>
    <w:rsid w:val="00074457"/>
    <w:rsid w:val="00074CDF"/>
    <w:rsid w:val="000836BF"/>
    <w:rsid w:val="00092982"/>
    <w:rsid w:val="000A115F"/>
    <w:rsid w:val="000A4430"/>
    <w:rsid w:val="000B4C54"/>
    <w:rsid w:val="000E592B"/>
    <w:rsid w:val="00104223"/>
    <w:rsid w:val="0012041F"/>
    <w:rsid w:val="0012224E"/>
    <w:rsid w:val="001271B0"/>
    <w:rsid w:val="0014404D"/>
    <w:rsid w:val="00164E0D"/>
    <w:rsid w:val="00173E2D"/>
    <w:rsid w:val="00181401"/>
    <w:rsid w:val="00183322"/>
    <w:rsid w:val="001938B7"/>
    <w:rsid w:val="0019424C"/>
    <w:rsid w:val="00194891"/>
    <w:rsid w:val="001C3BDF"/>
    <w:rsid w:val="001D20FA"/>
    <w:rsid w:val="001E0EF6"/>
    <w:rsid w:val="001E1AEB"/>
    <w:rsid w:val="001E2AEB"/>
    <w:rsid w:val="00211D56"/>
    <w:rsid w:val="00212C49"/>
    <w:rsid w:val="00232593"/>
    <w:rsid w:val="00232A81"/>
    <w:rsid w:val="00256504"/>
    <w:rsid w:val="00266D3D"/>
    <w:rsid w:val="00276D2D"/>
    <w:rsid w:val="00280D5D"/>
    <w:rsid w:val="00287499"/>
    <w:rsid w:val="002A4BF7"/>
    <w:rsid w:val="002A5BB0"/>
    <w:rsid w:val="002A61DC"/>
    <w:rsid w:val="002A7852"/>
    <w:rsid w:val="00300EE6"/>
    <w:rsid w:val="00303F28"/>
    <w:rsid w:val="00325AE9"/>
    <w:rsid w:val="00326141"/>
    <w:rsid w:val="00340113"/>
    <w:rsid w:val="00352574"/>
    <w:rsid w:val="00360AC7"/>
    <w:rsid w:val="00361DC8"/>
    <w:rsid w:val="00362F96"/>
    <w:rsid w:val="00363632"/>
    <w:rsid w:val="00365E65"/>
    <w:rsid w:val="003747EA"/>
    <w:rsid w:val="00396888"/>
    <w:rsid w:val="003A0FCA"/>
    <w:rsid w:val="003B4E9D"/>
    <w:rsid w:val="003C4CD7"/>
    <w:rsid w:val="003D5391"/>
    <w:rsid w:val="003D5864"/>
    <w:rsid w:val="003E28FF"/>
    <w:rsid w:val="003F1DBF"/>
    <w:rsid w:val="00400246"/>
    <w:rsid w:val="004019C6"/>
    <w:rsid w:val="00401D30"/>
    <w:rsid w:val="00427DC5"/>
    <w:rsid w:val="00457E7A"/>
    <w:rsid w:val="004616E3"/>
    <w:rsid w:val="00473630"/>
    <w:rsid w:val="0048139C"/>
    <w:rsid w:val="004C324F"/>
    <w:rsid w:val="004F25AC"/>
    <w:rsid w:val="005105E8"/>
    <w:rsid w:val="00532A09"/>
    <w:rsid w:val="005503B2"/>
    <w:rsid w:val="00562C98"/>
    <w:rsid w:val="005739D8"/>
    <w:rsid w:val="005924A8"/>
    <w:rsid w:val="005A140C"/>
    <w:rsid w:val="005B4477"/>
    <w:rsid w:val="005C4B21"/>
    <w:rsid w:val="005D4603"/>
    <w:rsid w:val="005D632C"/>
    <w:rsid w:val="00605102"/>
    <w:rsid w:val="00605AC9"/>
    <w:rsid w:val="0061281F"/>
    <w:rsid w:val="0062401A"/>
    <w:rsid w:val="00627F2D"/>
    <w:rsid w:val="00674009"/>
    <w:rsid w:val="00676478"/>
    <w:rsid w:val="00692393"/>
    <w:rsid w:val="006B7F42"/>
    <w:rsid w:val="006C1F23"/>
    <w:rsid w:val="006C5456"/>
    <w:rsid w:val="006C5BC1"/>
    <w:rsid w:val="006D73A0"/>
    <w:rsid w:val="00712772"/>
    <w:rsid w:val="00721CC6"/>
    <w:rsid w:val="00724714"/>
    <w:rsid w:val="00730E2C"/>
    <w:rsid w:val="00761594"/>
    <w:rsid w:val="007750E6"/>
    <w:rsid w:val="00784F31"/>
    <w:rsid w:val="007B0A72"/>
    <w:rsid w:val="007B142B"/>
    <w:rsid w:val="007B5FA4"/>
    <w:rsid w:val="007C64C8"/>
    <w:rsid w:val="007E6D20"/>
    <w:rsid w:val="007F7C8C"/>
    <w:rsid w:val="00804145"/>
    <w:rsid w:val="008250B5"/>
    <w:rsid w:val="00827475"/>
    <w:rsid w:val="00842E21"/>
    <w:rsid w:val="00862C22"/>
    <w:rsid w:val="0088201B"/>
    <w:rsid w:val="00892446"/>
    <w:rsid w:val="0089577B"/>
    <w:rsid w:val="008A7D6B"/>
    <w:rsid w:val="008B079D"/>
    <w:rsid w:val="008D460D"/>
    <w:rsid w:val="008E7C6A"/>
    <w:rsid w:val="008F413F"/>
    <w:rsid w:val="00920345"/>
    <w:rsid w:val="009221F9"/>
    <w:rsid w:val="0092278D"/>
    <w:rsid w:val="00923803"/>
    <w:rsid w:val="0093098C"/>
    <w:rsid w:val="009445F1"/>
    <w:rsid w:val="009537A4"/>
    <w:rsid w:val="009675C3"/>
    <w:rsid w:val="00967F60"/>
    <w:rsid w:val="00985BC4"/>
    <w:rsid w:val="00985D46"/>
    <w:rsid w:val="009963CB"/>
    <w:rsid w:val="009B110C"/>
    <w:rsid w:val="009C2453"/>
    <w:rsid w:val="009D4CBB"/>
    <w:rsid w:val="009F14D0"/>
    <w:rsid w:val="009F70E6"/>
    <w:rsid w:val="00A00AA8"/>
    <w:rsid w:val="00A0791D"/>
    <w:rsid w:val="00A119D4"/>
    <w:rsid w:val="00A1223D"/>
    <w:rsid w:val="00A21C8B"/>
    <w:rsid w:val="00A262D1"/>
    <w:rsid w:val="00A271F1"/>
    <w:rsid w:val="00A32030"/>
    <w:rsid w:val="00A324D7"/>
    <w:rsid w:val="00A43AF7"/>
    <w:rsid w:val="00A57F20"/>
    <w:rsid w:val="00A633AC"/>
    <w:rsid w:val="00A6631E"/>
    <w:rsid w:val="00A6656C"/>
    <w:rsid w:val="00A74C97"/>
    <w:rsid w:val="00A760E7"/>
    <w:rsid w:val="00AC474A"/>
    <w:rsid w:val="00AD32B8"/>
    <w:rsid w:val="00AE4426"/>
    <w:rsid w:val="00AE5CE9"/>
    <w:rsid w:val="00AF667A"/>
    <w:rsid w:val="00B14B94"/>
    <w:rsid w:val="00B22624"/>
    <w:rsid w:val="00B234E8"/>
    <w:rsid w:val="00B26ED4"/>
    <w:rsid w:val="00B44F18"/>
    <w:rsid w:val="00B63BE3"/>
    <w:rsid w:val="00B74FD9"/>
    <w:rsid w:val="00B82C73"/>
    <w:rsid w:val="00B85CD9"/>
    <w:rsid w:val="00B9647B"/>
    <w:rsid w:val="00B9677A"/>
    <w:rsid w:val="00BA05A2"/>
    <w:rsid w:val="00BA0F34"/>
    <w:rsid w:val="00BB0C20"/>
    <w:rsid w:val="00BB25ED"/>
    <w:rsid w:val="00BE2CFD"/>
    <w:rsid w:val="00BE2F59"/>
    <w:rsid w:val="00BF1E76"/>
    <w:rsid w:val="00BF687D"/>
    <w:rsid w:val="00C41326"/>
    <w:rsid w:val="00C455FB"/>
    <w:rsid w:val="00C50A66"/>
    <w:rsid w:val="00C56DA0"/>
    <w:rsid w:val="00C56EB6"/>
    <w:rsid w:val="00C57F33"/>
    <w:rsid w:val="00C6540F"/>
    <w:rsid w:val="00C721F5"/>
    <w:rsid w:val="00C74702"/>
    <w:rsid w:val="00C74FF9"/>
    <w:rsid w:val="00C93A04"/>
    <w:rsid w:val="00CA2A4C"/>
    <w:rsid w:val="00CB69EA"/>
    <w:rsid w:val="00CC6B54"/>
    <w:rsid w:val="00CD648C"/>
    <w:rsid w:val="00CE0023"/>
    <w:rsid w:val="00CE5EC0"/>
    <w:rsid w:val="00CF0059"/>
    <w:rsid w:val="00CF705A"/>
    <w:rsid w:val="00D04714"/>
    <w:rsid w:val="00D12CC5"/>
    <w:rsid w:val="00D12E93"/>
    <w:rsid w:val="00D1751D"/>
    <w:rsid w:val="00D2075C"/>
    <w:rsid w:val="00D31F3A"/>
    <w:rsid w:val="00D32186"/>
    <w:rsid w:val="00D364D0"/>
    <w:rsid w:val="00D42548"/>
    <w:rsid w:val="00D5078F"/>
    <w:rsid w:val="00D544C4"/>
    <w:rsid w:val="00D616D7"/>
    <w:rsid w:val="00D6288B"/>
    <w:rsid w:val="00D85FFB"/>
    <w:rsid w:val="00D86915"/>
    <w:rsid w:val="00DA4227"/>
    <w:rsid w:val="00DA5CF6"/>
    <w:rsid w:val="00DD0C0D"/>
    <w:rsid w:val="00DE0A40"/>
    <w:rsid w:val="00DE57BF"/>
    <w:rsid w:val="00DF168B"/>
    <w:rsid w:val="00E02D10"/>
    <w:rsid w:val="00E1121C"/>
    <w:rsid w:val="00E17029"/>
    <w:rsid w:val="00E17E43"/>
    <w:rsid w:val="00E2041B"/>
    <w:rsid w:val="00E21748"/>
    <w:rsid w:val="00E25C20"/>
    <w:rsid w:val="00E37AF0"/>
    <w:rsid w:val="00E464AE"/>
    <w:rsid w:val="00E5131B"/>
    <w:rsid w:val="00E55A0B"/>
    <w:rsid w:val="00E65380"/>
    <w:rsid w:val="00E65C58"/>
    <w:rsid w:val="00E72744"/>
    <w:rsid w:val="00E8621E"/>
    <w:rsid w:val="00EA6B46"/>
    <w:rsid w:val="00EC3455"/>
    <w:rsid w:val="00EC70E9"/>
    <w:rsid w:val="00ED6D11"/>
    <w:rsid w:val="00EE6BC7"/>
    <w:rsid w:val="00F04C76"/>
    <w:rsid w:val="00F228AC"/>
    <w:rsid w:val="00F25DC8"/>
    <w:rsid w:val="00F3194F"/>
    <w:rsid w:val="00F3427B"/>
    <w:rsid w:val="00F41033"/>
    <w:rsid w:val="00F74945"/>
    <w:rsid w:val="00F774FE"/>
    <w:rsid w:val="00F95076"/>
    <w:rsid w:val="00FA3E6D"/>
    <w:rsid w:val="00FB024F"/>
    <w:rsid w:val="00FC05DF"/>
    <w:rsid w:val="00FC0BB0"/>
    <w:rsid w:val="00FC4288"/>
    <w:rsid w:val="00FC6D32"/>
    <w:rsid w:val="00FD1097"/>
    <w:rsid w:val="00FD4509"/>
    <w:rsid w:val="00FE0DE4"/>
    <w:rsid w:val="00FE383D"/>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guia@fredhutch.org" TargetMode="External"/><Relationship Id="rId13" Type="http://schemas.openxmlformats.org/officeDocument/2006/relationships/hyperlink" Target="mailto:jbloom@fredhutch.or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usenk@uw.edu" TargetMode="External"/><Relationship Id="rId12" Type="http://schemas.openxmlformats.org/officeDocument/2006/relationships/hyperlink" Target="mailto:abalazs@mgh.harvard.edu" TargetMode="Externa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es@fredhutch.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hyperlink" Target="mailto:kmalone2@fredhutch.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ingens@fredhutch.org" TargetMode="External"/><Relationship Id="rId14" Type="http://schemas.openxmlformats.org/officeDocument/2006/relationships/image" Target="media/image1.png"/><Relationship Id="rId22" Type="http://schemas.openxmlformats.org/officeDocument/2006/relationships/header" Target="header3.xml"/><Relationship Id="rId27" Type="http://schemas.microsoft.com/office/2018/08/relationships/commentsExtensible" Target="commentsExtensible.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viruses-template.dot</Template>
  <TotalTime>120</TotalTime>
  <Pages>3</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188</cp:revision>
  <dcterms:created xsi:type="dcterms:W3CDTF">2020-04-14T15:56:00Z</dcterms:created>
  <dcterms:modified xsi:type="dcterms:W3CDTF">2020-04-15T12:57:00Z</dcterms:modified>
</cp:coreProperties>
</file>