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 w:line="276" w:lineRule="auto"/>
        <w:jc w:val="center"/>
      </w:pPr>
      <w:r>
        <w:rPr>
          <w:rFonts w:ascii="Noto Sans CJK SC" w:hAnsi="Noto Sans CJK SC" w:eastAsia="Noto Sans CJK SC"/>
          <w:b/>
          <w:i w:val="0"/>
          <w:color w:val="3B2667"/>
          <w:sz w:val="44"/>
        </w:rPr>
        <w:t>百鬼夜市 2.0｜产品总纲与玩家生命周期</w:t>
      </w:r>
    </w:p>
    <w:p>
      <w:pPr>
        <w:spacing w:before="0" w:after="200" w:line="307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696969"/>
          <w:sz w:val="22"/>
        </w:rPr>
        <w:t>市场定位、核心用户、产品边界、留存支柱与阶段目标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3EF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573E8C"/>
                <w:sz w:val="19"/>
              </w:rPr>
              <w:t>适用对象：</w:t>
            </w: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产品负责人 / 策划 / 运营 / 美术负责人</w:t>
            </w:r>
          </w:p>
        </w:tc>
        <w:tc>
          <w:tcPr>
            <w:tcW w:type="dxa" w:w="5100"/>
            <w:shd w:fill="F3EF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573E8C"/>
                <w:sz w:val="19"/>
              </w:rPr>
              <w:t>版本状态：</w:t>
            </w: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v0.2 · 基于当前已达成共识整理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4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3B7A57"/>
                <w:sz w:val="21"/>
              </w:rPr>
              <w:t>已确认原则｜一句话产品定义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20"/>
              </w:rPr>
              <w:t>一款以妖怪店长收集和个性化夜市经营为核心，通过好友、坊会与公共资产经营权形成长期关系的东方幻想长线 IAA 模拟经营小游戏。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4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3B7A57"/>
                <w:sz w:val="21"/>
              </w:rPr>
              <w:t>已确认原则｜产品体验中心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20"/>
              </w:rPr>
              <w:t>玩家真正拥有的不是金币、店长或单件家具，而是“属于自己的百鬼夜市”。所有系统最终都应强化这份所有权。</w:t>
            </w:r>
          </w:p>
        </w:tc>
      </w:tr>
    </w:tbl>
    <w:p/>
    <w:p>
      <w:pPr>
        <w:keepNext/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3B2667"/>
          <w:sz w:val="31"/>
        </w:rPr>
        <w:t>1. 核心产品支柱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44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9"/>
              </w:rPr>
              <w:t>支柱</w:t>
            </w:r>
          </w:p>
        </w:tc>
        <w:tc>
          <w:tcPr>
            <w:tcW w:type="dxa" w:w="7632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9"/>
              </w:rPr>
              <w:t>核心作用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经营成长</w:t>
            </w:r>
          </w:p>
        </w:tc>
        <w:tc>
          <w:tcPr>
            <w:tcW w:type="dxa" w:w="76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把破败夜市一点点经营起来；产生即时反馈与日常目标。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角色关系</w:t>
            </w:r>
          </w:p>
        </w:tc>
        <w:tc>
          <w:tcPr>
            <w:tcW w:type="dxa" w:w="76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认识并培养有性格、有过去、有愿望的鬼怪店员；产生情感沉淀。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个性创造</w:t>
            </w:r>
          </w:p>
        </w:tc>
        <w:tc>
          <w:tcPr>
            <w:tcW w:type="dxa" w:w="76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通过装修、主题搭配与街区建设形成“这是我的夜市”。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社会归属</w:t>
            </w:r>
          </w:p>
        </w:tc>
        <w:tc>
          <w:tcPr>
            <w:tcW w:type="dxa" w:w="76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好友、坊会、公共资产经营权形成回访、协作和竞争。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世界复兴</w:t>
            </w:r>
          </w:p>
        </w:tc>
        <w:tc>
          <w:tcPr>
            <w:tcW w:type="dxa" w:w="76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通过7天、14天、30天到更远的阶段目标，让玩家始终知道自己为什么继续经营。</w:t>
            </w:r>
          </w:p>
        </w:tc>
      </w:tr>
    </w:tbl>
    <w:p>
      <w:pPr>
        <w:keepNext/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3B2667"/>
          <w:sz w:val="31"/>
        </w:rPr>
        <w:t>2. 市场与玩家画像</w:t>
      </w:r>
    </w:p>
    <w:p>
      <w:pPr>
        <w:spacing w:before="0" w:after="80" w:line="31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1"/>
        </w:rPr>
        <w:t>主要玩法画像：模拟经营为一级品类；长线休闲经营为二级品类；东方幻想/百鬼/夜市为内容标签；角色收集、装修和轻社交竞争构成长线深度。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944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8"/>
              </w:rPr>
              <w:t>玩家群</w:t>
            </w:r>
          </w:p>
        </w:tc>
        <w:tc>
          <w:tcPr>
            <w:tcW w:type="dxa" w:w="2376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8"/>
              </w:rPr>
              <w:t>预期画像</w:t>
            </w:r>
          </w:p>
        </w:tc>
        <w:tc>
          <w:tcPr>
            <w:tcW w:type="dxa" w:w="5256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8"/>
              </w:rPr>
              <w:t>主要需求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核心基本盘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25-44岁女性倾向</w:t>
            </w:r>
          </w:p>
        </w:tc>
        <w:tc>
          <w:tcPr>
            <w:tcW w:type="dxa" w:w="52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经营、装修、收集、角色喜爱、持续成长；对强PvP和资产损失敏感。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成长收集玩家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18-35岁，男女皆有</w:t>
            </w:r>
          </w:p>
        </w:tc>
        <w:tc>
          <w:tcPr>
            <w:tcW w:type="dxa" w:w="52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关注鬼怪稀有度、角色性格、店铺适配和组合策略。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社交型玩家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25-45岁</w:t>
            </w:r>
          </w:p>
        </w:tc>
        <w:tc>
          <w:tcPr>
            <w:tcW w:type="dxa" w:w="52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因坊会、公共资产、周期目标和群体关系形成回流。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F0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573E8C"/>
                <w:sz w:val="21"/>
              </w:rPr>
              <w:t>当前主方案｜性别结构预期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20"/>
              </w:rPr>
              <w:t>若美术坚持“东方幻想 + 温暖市井 + 精致经营”而非恐怖/重战斗方向，核心活跃用户预计会女性偏多。该比例属于产品假设，上线后必须用分人群投放和留存数据校准。</w:t>
            </w:r>
          </w:p>
        </w:tc>
      </w:tr>
    </w:tbl>
    <w:p/>
    <w:p>
      <w:pPr>
        <w:keepNext/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3B2667"/>
          <w:sz w:val="31"/>
        </w:rPr>
        <w:t>3. 玩家生命周期</w:t>
      </w:r>
    </w:p>
    <w:p>
      <w:r>
        <w:drawing>
          <wp:inline xmlns:a="http://schemas.openxmlformats.org/drawingml/2006/main" xmlns:pic="http://schemas.openxmlformats.org/drawingml/2006/picture">
            <wp:extent cx="5897880" cy="27527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生命周期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5277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728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9"/>
              </w:rPr>
              <w:t>阶段</w:t>
            </w:r>
          </w:p>
        </w:tc>
        <w:tc>
          <w:tcPr>
            <w:tcW w:type="dxa" w:w="7848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9"/>
              </w:rPr>
              <w:t>必须获得的体验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0-30分钟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理解“复兴夜市”目标；认识主NPC；完成第一笔经营闭环。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Day 1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建立经营-收益-升级循环；首次获得/配置店长。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Day 3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第一条街开始成形；玩家认识数名NPC并感受角色差异。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Day 7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第一次“正式复市”，发生大视觉变化；形成阶段毕业感。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Day 14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修复公共节点；自然进入坊会和公共资产玩法。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Day 30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通过第一次鬼市评定，身份升级为正式“市主”。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Day 60-90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开启新街区和首轮大型世界事件/百鬼大集。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Day 180+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多街区复兴、更多商路、赛季与公共世界成为长期内容容器。</w:t>
            </w:r>
          </w:p>
        </w:tc>
      </w:tr>
    </w:tbl>
    <w:p>
      <w:pPr>
        <w:keepNext/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3B2667"/>
          <w:sz w:val="31"/>
        </w:rPr>
        <w:t>4. 留存与粘性真正要抓什么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资产粘性：夜市布局、装修、街区和长期收藏，让玩家离开时有“舍不得自己的东西”的感觉。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角色粘性：NPC不是属性卡，要有一句话人格、动机、梦想和可见成长。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社会粘性：坊会和公共资产让玩家出现“今天不上线会错过共同目标”的社会回流。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世界建设粘性：长期主线不断告诉玩家“这座夜市还没有完全复兴”。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有效时长而非空耗时长：30分钟里应不断发生配置、经营、装修、事件和社交决策，而不是等待与看广告。</w:t>
      </w:r>
    </w:p>
    <w:p>
      <w:pPr>
        <w:keepNext/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3B2667"/>
          <w:sz w:val="31"/>
        </w:rPr>
        <w:t>5. 商业化边界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4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3B7A57"/>
                <w:sz w:val="21"/>
              </w:rPr>
              <w:t>已确认原则｜IAA原则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20"/>
              </w:rPr>
              <w:t>广告是“价值增强器”，不是主循环。广告不应频繁阻断经营，更不能直接决定公共资产竞争胜负。</w:t>
            </w:r>
          </w:p>
        </w:tc>
      </w:tr>
    </w:tbl>
    <w:p/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优先做主动激励视频：离线收益加成、商店刷新、追加招募机会、奇遇追加奖励、制作加速。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广告首次出现应晚于核心体验建立；主动广告机会之间保留足够的正常游玩时间。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优先优化D7/D30和有效时长，再提高单DAU广告次数。</w:t>
      </w:r>
    </w:p>
    <w:p>
      <w:pPr>
        <w:keepNext/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3B2667"/>
          <w:sz w:val="31"/>
        </w:rPr>
        <w:t>6. 产品绝对边界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04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8"/>
              </w:rPr>
              <w:t>边界</w:t>
            </w:r>
          </w:p>
        </w:tc>
        <w:tc>
          <w:tcPr>
            <w:tcW w:type="dxa" w:w="7272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8"/>
              </w:rPr>
              <w:t>执行要求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保持模拟经营本质</w:t>
            </w:r>
          </w:p>
        </w:tc>
        <w:tc>
          <w:tcPr>
            <w:tcW w:type="dxa" w:w="72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社交竞争必须由经营能力、协作和资源安排驱动，不额外造一套重战斗系统。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不抢私人资产</w:t>
            </w:r>
          </w:p>
        </w:tc>
        <w:tc>
          <w:tcPr>
            <w:tcW w:type="dxa" w:w="72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公共玩法争夺的是临时经营权/荣誉/稀有资源，不破坏玩家已经建设的私人夜市。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强归属，弱惩罚</w:t>
            </w:r>
          </w:p>
        </w:tc>
        <w:tc>
          <w:tcPr>
            <w:tcW w:type="dxa" w:w="72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输家仍有参与奖励；避免连续失败导致普通玩家退出。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轻叙事，强人格</w:t>
            </w:r>
          </w:p>
        </w:tc>
        <w:tc>
          <w:tcPr>
            <w:tcW w:type="dxa" w:w="72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故事要短、自然嵌入经营；不要求玩家阅读大段文本。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民俗熟悉感，不做恐怖写实</w:t>
            </w:r>
          </w:p>
        </w:tc>
        <w:tc>
          <w:tcPr>
            <w:tcW w:type="dxa" w:w="72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东方幻想、市井、可爱/个性妖怪；避免血腥、真实祭祀和强恐怖表达。</w:t>
            </w:r>
          </w:p>
        </w:tc>
      </w:tr>
    </w:tbl>
    <w:p>
      <w:pPr>
        <w:keepNext/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3B2667"/>
          <w:sz w:val="31"/>
        </w:rPr>
        <w:t>7. 待产品评审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主NPC最终身份与姓名（当前优先方向：阎罗王之子/实习判官；“阎小七”为工作名）。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首发第一街具体店铺题材和解锁顺序。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长期“九街十三巷 / 万鬼灯楼 / 万鬼朝市”等世界资产的最终命名。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市场目标数字、广告频次和留存阈值需要上线/测试数据校准，不作为不可变规则。</w:t>
      </w:r>
    </w:p>
    <w:sectPr w:rsidR="00FC693F" w:rsidRPr="0006063C" w:rsidSect="00034616">
      <w:pgSz w:w="12240" w:h="15840"/>
      <w:pgMar w:top="935" w:right="1020" w:bottom="879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