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/>
          <w:color w:val="000000"/>
        </w:rPr>
      </w:pPr>
      <w:bookmarkStart w:id="0" w:name="_Toc450136695"/>
      <w:r>
        <w:rPr>
          <w:rFonts w:hint="eastAsia" w:hAnsi="宋体"/>
          <w:color w:val="000000"/>
        </w:rPr>
        <w:t>文件编号：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hint="eastAsia" w:ascii="宋体" w:hAnsi="宋体" w:eastAsia="宋体"/>
          <w:sz w:val="28"/>
          <w:szCs w:val="20"/>
          <w:lang w:eastAsia="zh-CN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pStyle w:val="19"/>
        <w:jc w:val="both"/>
      </w:pPr>
    </w:p>
    <w:p>
      <w:pPr>
        <w:pStyle w:val="19"/>
        <w:rPr>
          <w:rFonts w:ascii="宋体" w:hAnsi="宋体" w:eastAsia="宋体"/>
          <w:sz w:val="84"/>
          <w:szCs w:val="84"/>
        </w:rPr>
      </w:pPr>
      <w:r>
        <w:rPr>
          <w:rFonts w:hint="eastAsia" w:ascii="宋体" w:hAnsi="宋体" w:eastAsia="宋体"/>
          <w:sz w:val="84"/>
          <w:szCs w:val="84"/>
        </w:rPr>
        <w:t>数据采集平台</w:t>
      </w:r>
    </w:p>
    <w:p>
      <w:pPr>
        <w:pStyle w:val="12"/>
        <w:ind w:left="1260" w:hanging="1260" w:hangingChars="350"/>
        <w:rPr>
          <w:rFonts w:hint="eastAsia"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公民身份核查-带简项照片</w:t>
      </w:r>
    </w:p>
    <w:p>
      <w:pPr>
        <w:pStyle w:val="12"/>
        <w:ind w:left="1260" w:hanging="1260" w:hangingChars="350"/>
        <w:rPr>
          <w:rFonts w:hint="eastAsia"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接口文档</w:t>
      </w:r>
    </w:p>
    <w:p>
      <w:pPr>
        <w:pStyle w:val="21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版本：V1.0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tbl>
      <w:tblPr>
        <w:tblStyle w:val="16"/>
        <w:tblpPr w:leftFromText="180" w:rightFromText="180" w:vertAnchor="text" w:horzAnchor="margin" w:tblpXSpec="center" w:tblpY="279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39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文 档 编 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保 密 等 级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作       者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审  核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批  准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</w:tbl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2"/>
            <w:jc w:val="center"/>
            <w:rPr>
              <w:rFonts w:ascii="Tahoma" w:hAnsi="Tahoma" w:eastAsia="微软雅黑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>
          <w:pPr>
            <w:pStyle w:val="32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_Toc32316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1.接口列表</w:t>
          </w:r>
          <w:r>
            <w:tab/>
          </w:r>
          <w:r>
            <w:fldChar w:fldCharType="begin"/>
          </w:r>
          <w:r>
            <w:instrText xml:space="preserve"> PAGEREF _Toc32316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2.请求流程说明</w:t>
          </w:r>
          <w:r>
            <w:tab/>
          </w:r>
          <w:r>
            <w:fldChar w:fldCharType="begin"/>
          </w:r>
          <w:r>
            <w:instrText xml:space="preserve"> PAGEREF _Toc4419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3.请求和返回报文</w:t>
          </w:r>
          <w:r>
            <w:tab/>
          </w:r>
          <w:r>
            <w:fldChar w:fldCharType="begin"/>
          </w:r>
          <w:r>
            <w:instrText xml:space="preserve"> PAGEREF _Toc26681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_Toc6634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3.1请求参数说明</w:t>
          </w:r>
          <w:r>
            <w:tab/>
          </w:r>
          <w:r>
            <w:fldChar w:fldCharType="begin"/>
          </w:r>
          <w:r>
            <w:instrText xml:space="preserve"> PAGEREF _Toc6634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_Toc27919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3.2返回数据说明</w:t>
          </w:r>
          <w:r>
            <w:tab/>
          </w:r>
          <w:r>
            <w:fldChar w:fldCharType="begin"/>
          </w:r>
          <w:r>
            <w:instrText xml:space="preserve"> PAGEREF _Toc27919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4. 接入步骤</w:t>
          </w:r>
          <w:r>
            <w:tab/>
          </w:r>
          <w:r>
            <w:fldChar w:fldCharType="begin"/>
          </w:r>
          <w:r>
            <w:instrText xml:space="preserve"> PAGEREF _Toc22307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_Toc22988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4.1 获取授权信息</w:t>
          </w:r>
          <w:r>
            <w:tab/>
          </w:r>
          <w:r>
            <w:fldChar w:fldCharType="begin"/>
          </w:r>
          <w:r>
            <w:instrText xml:space="preserve"> PAGEREF _Toc22988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4.2 构建参数</w:t>
          </w:r>
          <w:r>
            <w:tab/>
          </w:r>
          <w:r>
            <w:fldChar w:fldCharType="begin"/>
          </w:r>
          <w:r>
            <w:instrText xml:space="preserve"> PAGEREF _Toc3287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 </w:instrText>
          </w:r>
          <w:r>
            <w:fldChar w:fldCharType="separate"/>
          </w:r>
          <w:r>
            <w:rPr>
              <w:b w:val="0"/>
              <w:szCs w:val="30"/>
            </w:rPr>
            <w:t xml:space="preserve">4.3 </w:t>
          </w:r>
          <w:r>
            <w:rPr>
              <w:rFonts w:hint="eastAsia"/>
              <w:b w:val="0"/>
              <w:szCs w:val="30"/>
            </w:rPr>
            <w:t>加密数据</w:t>
          </w:r>
          <w:r>
            <w:tab/>
          </w:r>
          <w:r>
            <w:fldChar w:fldCharType="begin"/>
          </w:r>
          <w:r>
            <w:instrText xml:space="preserve"> PAGEREF _Toc2455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_Toc15588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4.4 发送请求</w:t>
          </w:r>
          <w:r>
            <w:tab/>
          </w:r>
          <w:r>
            <w:fldChar w:fldCharType="begin"/>
          </w:r>
          <w:r>
            <w:instrText xml:space="preserve"> PAGEREF _Toc15588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_Toc9414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4.5 响应请求</w:t>
          </w:r>
          <w:r>
            <w:tab/>
          </w:r>
          <w:r>
            <w:fldChar w:fldCharType="begin"/>
          </w:r>
          <w:r>
            <w:instrText xml:space="preserve"> PAGEREF _Toc9414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_Toc11380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4.6 解密请求结果</w:t>
          </w:r>
          <w:r>
            <w:tab/>
          </w:r>
          <w:r>
            <w:fldChar w:fldCharType="begin"/>
          </w:r>
          <w:r>
            <w:instrText xml:space="preserve"> PAGEREF _Toc11380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_Toc18782 </w:instrText>
          </w:r>
          <w: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>5</w:t>
          </w:r>
          <w:r>
            <w:rPr>
              <w:rFonts w:hint="eastAsia" w:asciiTheme="majorEastAsia" w:hAnsiTheme="majorEastAsia" w:eastAsiaTheme="majorEastAsia"/>
              <w:szCs w:val="32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_Toc18782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_Toc16624 </w:instrText>
          </w:r>
          <w:r>
            <w:fldChar w:fldCharType="separate"/>
          </w:r>
          <w:r>
            <w:rPr>
              <w:rFonts w:hint="eastAsia"/>
              <w:b w:val="0"/>
              <w:szCs w:val="30"/>
            </w:rPr>
            <w:t>返回码</w:t>
          </w:r>
          <w:r>
            <w:rPr>
              <w:b w:val="0"/>
              <w:szCs w:val="30"/>
            </w:rPr>
            <w:t>(</w:t>
          </w:r>
          <w:r>
            <w:rPr>
              <w:rFonts w:hint="eastAsia"/>
              <w:b w:val="0"/>
              <w:szCs w:val="30"/>
            </w:rPr>
            <w:t>业务</w:t>
          </w:r>
          <w:r>
            <w:rPr>
              <w:b w:val="0"/>
              <w:szCs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_Toc16624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_Toc28855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szCs w:val="24"/>
            </w:rPr>
            <w:t>返回码(系统)</w:t>
          </w:r>
          <w:r>
            <w:tab/>
          </w:r>
          <w:r>
            <w:fldChar w:fldCharType="begin"/>
          </w:r>
          <w:r>
            <w:instrText xml:space="preserve"> PAGEREF _Toc28855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2"/>
      </w:pPr>
    </w:p>
    <w:p/>
    <w:p/>
    <w:p/>
    <w:p/>
    <w:p/>
    <w:p/>
    <w:p/>
    <w:p>
      <w:pPr>
        <w:pStyle w:val="2"/>
        <w:spacing w:before="240" w:after="240" w:line="240" w:lineRule="auto"/>
        <w:contextualSpacing/>
        <w:rPr>
          <w:rFonts w:asciiTheme="majorEastAsia" w:hAnsiTheme="majorEastAsia" w:eastAsiaTheme="majorEastAsia"/>
          <w:sz w:val="32"/>
          <w:szCs w:val="32"/>
        </w:rPr>
      </w:pPr>
      <w:bookmarkStart w:id="1" w:name="_Toc468377121"/>
      <w:bookmarkStart w:id="2" w:name="_Toc467167084"/>
      <w:bookmarkStart w:id="3" w:name="_Toc32316"/>
      <w:r>
        <w:rPr>
          <w:rFonts w:hint="eastAsia" w:asciiTheme="majorEastAsia" w:hAnsiTheme="majorEastAsia" w:eastAsiaTheme="majorEastAsia"/>
          <w:sz w:val="32"/>
          <w:szCs w:val="32"/>
        </w:rPr>
        <w:t>1.接口列表</w:t>
      </w:r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legalPersonIdentityExamine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  <w:t>法人身份核查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请求征信服务</w:t>
            </w:r>
          </w:p>
        </w:tc>
      </w:tr>
    </w:tbl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4" w:name="_Toc468377122"/>
      <w:bookmarkStart w:id="5" w:name="_Toc4419"/>
      <w:bookmarkStart w:id="6" w:name="_Toc467167085"/>
      <w:r>
        <w:rPr>
          <w:rFonts w:hint="eastAsia" w:asciiTheme="majorEastAsia" w:hAnsiTheme="majorEastAsia" w:eastAsiaTheme="majorEastAsia"/>
          <w:color w:val="auto"/>
          <w:sz w:val="32"/>
          <w:szCs w:val="32"/>
        </w:rPr>
        <w:t>2.请求流</w:t>
      </w:r>
      <w:r>
        <w:rPr>
          <w:rFonts w:hint="eastAsia" w:asciiTheme="majorEastAsia" w:hAnsiTheme="majorEastAsia" w:eastAsiaTheme="majorEastAsia"/>
          <w:sz w:val="32"/>
          <w:szCs w:val="32"/>
        </w:rPr>
        <w:t>程说明</w:t>
      </w:r>
      <w:bookmarkEnd w:id="4"/>
      <w:bookmarkEnd w:id="5"/>
      <w:bookmarkEnd w:id="6"/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1.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客户将调用网关机器的公网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IP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,在请求服务前告知安徽征信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2. 相关接口使用 AES128 加密，请先联系安徽征信获取对应的 AES128 的密钥（一般按 HEX 方式编码提供）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3. 构造自己的请求参数对象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4. 将参数对象转成 JSON 格式</w:t>
      </w:r>
    </w:p>
    <w:p>
      <w:pPr>
        <w:spacing w:before="200"/>
        <w:rPr>
          <w:rFonts w:hint="eastAsia"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5. 将 JSON 使用 AES128 加密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6. 对加密结果使用 BASE64 编码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7. 访问安徽征信的请求，获取结果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8. 将结果进行 BASE64 解码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9. 将解码的数据进行 AES128 解密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10. 最后的结果就是需要的结果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7" w:name="_Toc467167086"/>
      <w:bookmarkStart w:id="8" w:name="_Toc26681"/>
      <w:bookmarkStart w:id="9" w:name="_Toc468377123"/>
      <w:r>
        <w:rPr>
          <w:rFonts w:hint="eastAsia" w:asciiTheme="majorEastAsia" w:hAnsiTheme="majorEastAsia" w:eastAsiaTheme="majorEastAsia"/>
          <w:sz w:val="32"/>
          <w:szCs w:val="32"/>
        </w:rPr>
        <w:t>3.请求和返回报文</w:t>
      </w:r>
      <w:bookmarkEnd w:id="7"/>
      <w:bookmarkEnd w:id="8"/>
      <w:bookmarkEnd w:id="9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6634"/>
      <w:bookmarkStart w:id="12" w:name="_Toc467167087"/>
      <w:bookmarkStart w:id="13" w:name="_Toc468377124"/>
      <w:bookmarkStart w:id="14" w:name="_Toc466383444"/>
      <w:r>
        <w:rPr>
          <w:rFonts w:hint="eastAsia"/>
          <w:b w:val="0"/>
          <w:sz w:val="30"/>
          <w:szCs w:val="30"/>
        </w:rPr>
        <w:t>3.1请求参数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查询请求参数：</w:t>
      </w:r>
    </w:p>
    <w:tbl>
      <w:tblPr>
        <w:tblStyle w:val="16"/>
        <w:tblW w:w="8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561"/>
        <w:gridCol w:w="1766"/>
        <w:gridCol w:w="863"/>
        <w:gridCol w:w="1170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692" w:type="dxa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产品接口号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unitId</w:t>
            </w:r>
            <w:bookmarkStart w:id="39" w:name="_GoBack"/>
            <w:bookmarkEnd w:id="39"/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授权码由省征信分配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系统的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auto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hint="eastAsia"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hint="eastAsia"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交易日期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927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8"/>
                <w:szCs w:val="28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c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ardNo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cardName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姓名</w:t>
            </w:r>
          </w:p>
        </w:tc>
      </w:tr>
    </w:tbl>
    <w:p>
      <w:pPr>
        <w:pStyle w:val="3"/>
        <w:spacing w:before="240" w:after="240" w:line="415" w:lineRule="auto"/>
        <w:contextualSpacing/>
        <w:rPr>
          <w:b w:val="0"/>
          <w:color w:val="auto"/>
          <w:sz w:val="30"/>
          <w:szCs w:val="30"/>
        </w:rPr>
      </w:pPr>
      <w:bookmarkStart w:id="15" w:name="_Toc466383445"/>
      <w:bookmarkStart w:id="16" w:name="_Toc467167088"/>
      <w:bookmarkStart w:id="17" w:name="_Toc468377125"/>
      <w:bookmarkStart w:id="18" w:name="_Toc27919"/>
      <w:r>
        <w:rPr>
          <w:rFonts w:hint="eastAsia"/>
          <w:b w:val="0"/>
          <w:color w:val="auto"/>
          <w:sz w:val="30"/>
          <w:szCs w:val="30"/>
        </w:rPr>
        <w:t>3.2返回数据说明</w:t>
      </w:r>
      <w:bookmarkEnd w:id="15"/>
      <w:bookmarkEnd w:id="16"/>
      <w:bookmarkEnd w:id="17"/>
      <w:bookmarkEnd w:id="18"/>
    </w:p>
    <w:p>
      <w:pPr>
        <w:rPr>
          <w:rFonts w:asciiTheme="minorEastAsia" w:hAnsiTheme="minorEastAsia" w:eastAsiaTheme="minorEastAsia"/>
          <w:color w:val="auto"/>
          <w:sz w:val="24"/>
        </w:rPr>
      </w:pPr>
      <w:r>
        <w:rPr>
          <w:rFonts w:hint="eastAsia" w:asciiTheme="minorEastAsia" w:hAnsiTheme="minorEastAsia" w:eastAsiaTheme="minorEastAsia"/>
          <w:color w:val="auto"/>
          <w:sz w:val="24"/>
        </w:rPr>
        <w:t>反馈字段：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73"/>
        <w:gridCol w:w="1842"/>
        <w:gridCol w:w="709"/>
        <w:gridCol w:w="1134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反馈查询的状态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msg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请求流水号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reqSerialNo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请求流水号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transNo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服务端返回的流水号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请求时间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retDate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</w:t>
            </w: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eastAsia="宋体" w:cs="Calibri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eastAsia="zh-CN"/>
              </w:rPr>
              <w:t>最终校验结果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finalValidResult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eastAsia="宋体" w:cs="Calibri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auto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0：通过</w:t>
            </w:r>
          </w:p>
          <w:p>
            <w:pPr>
              <w:pStyle w:val="29"/>
              <w:spacing w:line="240" w:lineRule="auto"/>
              <w:jc w:val="center"/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其他参考warn_code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</w:rPr>
              <w:t>0</w:t>
            </w: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eastAsia="宋体" w:cs="Calibri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eastAsia="zh-CN"/>
              </w:rPr>
              <w:t>公安户籍照片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auto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policePhoto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eastAsia="宋体" w:cs="Calibri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auto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hint="eastAsia" w:ascii="宋体" w:hAnsi="宋体" w:eastAsia="宋体" w:cs="Calibri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Calibri"/>
                <w:color w:val="auto"/>
                <w:sz w:val="24"/>
                <w:szCs w:val="24"/>
                <w:lang w:val="en-US" w:eastAsia="zh-CN"/>
              </w:rPr>
              <w:t>Base64编码字符</w:t>
            </w:r>
          </w:p>
        </w:tc>
      </w:tr>
    </w:tbl>
    <w:p>
      <w:pPr>
        <w:rPr>
          <w:b/>
          <w:color w:val="auto"/>
          <w:szCs w:val="21"/>
        </w:rPr>
      </w:pPr>
    </w:p>
    <w:p>
      <w:pPr>
        <w:spacing w:after="0"/>
        <w:rPr>
          <w:rFonts w:ascii="宋体" w:hAnsi="宋体" w:eastAsia="宋体" w:cs="Calibri"/>
          <w:color w:val="auto"/>
          <w:kern w:val="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auto"/>
          <w:sz w:val="28"/>
          <w:szCs w:val="28"/>
        </w:rPr>
        <w:t>说明</w:t>
      </w:r>
      <w:r>
        <w:rPr>
          <w:rFonts w:hint="eastAsia"/>
          <w:color w:val="auto"/>
          <w:szCs w:val="21"/>
        </w:rPr>
        <w:t>：</w:t>
      </w:r>
      <w:bookmarkStart w:id="19" w:name="_Toc467167089"/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成功情况返回json结果示例：{"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finalValidResult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":"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","retDate":"2016-11-30 16:35:13","reqSerialNo": "2016113000000047","code":"000000","transNo":"2016113000000035","msg":"交易成功","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policePhoto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":"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  <w:lang w:val="en-US" w:eastAsia="zh-CN"/>
        </w:rPr>
        <w:t>************</w:t>
      </w: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"}</w:t>
      </w:r>
    </w:p>
    <w:p>
      <w:pPr>
        <w:spacing w:after="0"/>
        <w:rPr>
          <w:rFonts w:ascii="宋体" w:hAnsi="宋体" w:eastAsia="宋体" w:cs="Calibri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错误情况返回json结果示例：</w:t>
      </w:r>
    </w:p>
    <w:p>
      <w:pPr>
        <w:spacing w:after="0"/>
        <w:rPr>
          <w:rFonts w:ascii="宋体" w:hAnsi="宋体" w:eastAsia="宋体" w:cs="Calibri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{"retDate":"2016-12-01 15:45:31","reqSerialNo":"","code":"err_000","transNo": "2016120100000026","msg":"发送请求异常"}</w:t>
      </w:r>
    </w:p>
    <w:p>
      <w:pPr>
        <w:rPr>
          <w:rFonts w:asciiTheme="minorEastAsia" w:hAnsiTheme="minorEastAsia" w:eastAsiaTheme="minorEastAsia"/>
          <w:color w:val="auto"/>
          <w:sz w:val="24"/>
          <w:szCs w:val="24"/>
        </w:rPr>
      </w:pP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color w:val="auto"/>
          <w:sz w:val="32"/>
          <w:szCs w:val="32"/>
        </w:rPr>
      </w:pPr>
      <w:bookmarkStart w:id="20" w:name="_Toc22307"/>
      <w:r>
        <w:rPr>
          <w:rFonts w:hint="eastAsia" w:asciiTheme="majorEastAsia" w:hAnsiTheme="majorEastAsia" w:eastAsiaTheme="majorEastAsia"/>
          <w:color w:val="auto"/>
          <w:sz w:val="32"/>
          <w:szCs w:val="32"/>
        </w:rPr>
        <w:t>4. 接入步骤</w:t>
      </w:r>
      <w:bookmarkEnd w:id="20"/>
    </w:p>
    <w:bookmarkEnd w:id="0"/>
    <w:bookmarkEnd w:id="19"/>
    <w:p>
      <w:pPr>
        <w:pStyle w:val="3"/>
        <w:spacing w:before="240" w:after="240" w:line="240" w:lineRule="auto"/>
        <w:contextualSpacing/>
        <w:rPr>
          <w:b w:val="0"/>
          <w:color w:val="auto"/>
          <w:sz w:val="30"/>
          <w:szCs w:val="30"/>
        </w:rPr>
      </w:pPr>
      <w:bookmarkStart w:id="21" w:name="_Toc468377126"/>
      <w:bookmarkStart w:id="22" w:name="_Toc22988"/>
      <w:r>
        <w:rPr>
          <w:rFonts w:hint="eastAsia"/>
          <w:b w:val="0"/>
          <w:color w:val="auto"/>
          <w:sz w:val="30"/>
          <w:szCs w:val="30"/>
        </w:rPr>
        <w:t>4.1 获取授权信息</w:t>
      </w:r>
      <w:bookmarkEnd w:id="21"/>
      <w:bookmarkEnd w:id="22"/>
      <w:r>
        <w:rPr>
          <w:color w:val="auto"/>
        </w:rPr>
        <w:tab/>
      </w:r>
    </w:p>
    <w:p>
      <w:pPr>
        <w:spacing w:after="0"/>
        <w:rPr>
          <w:rFonts w:ascii="宋体" w:hAnsi="宋体" w:eastAsia="宋体" w:cs="Calibri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Calibri"/>
          <w:color w:val="auto"/>
          <w:kern w:val="2"/>
          <w:sz w:val="24"/>
          <w:szCs w:val="24"/>
        </w:rPr>
        <w:t>需获取授权账号</w:t>
      </w:r>
      <w:r>
        <w:rPr>
          <w:rFonts w:ascii="宋体" w:hAnsi="宋体" w:eastAsia="宋体" w:cs="Calibri"/>
          <w:color w:val="auto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color w:val="auto"/>
          <w:kern w:val="2"/>
          <w:sz w:val="24"/>
          <w:szCs w:val="24"/>
        </w:rPr>
      </w:pP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</w:t>
      </w:r>
      <w:r>
        <w:rPr>
          <w:rFonts w:ascii="宋体" w:hAnsi="宋体" w:eastAsia="宋体" w:cs="Calibri"/>
          <w:kern w:val="2"/>
          <w:sz w:val="24"/>
          <w:szCs w:val="24"/>
        </w:rPr>
        <w:t>AES128</w:t>
      </w:r>
      <w:r>
        <w:rPr>
          <w:rFonts w:hint="eastAsia" w:ascii="宋体" w:hAnsi="宋体" w:eastAsia="宋体" w:cs="Calibri"/>
          <w:kern w:val="2"/>
          <w:sz w:val="24"/>
          <w:szCs w:val="24"/>
        </w:rPr>
        <w:t>密钥（一般使用</w:t>
      </w:r>
      <w:r>
        <w:rPr>
          <w:rFonts w:ascii="宋体" w:hAnsi="宋体" w:eastAsia="宋体" w:cs="Calibri"/>
          <w:kern w:val="2"/>
          <w:sz w:val="24"/>
          <w:szCs w:val="24"/>
        </w:rPr>
        <w:t>HEX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编码提供方式提供）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3" w:name="_Toc3287"/>
      <w:bookmarkStart w:id="24" w:name="_Toc468377127"/>
      <w:r>
        <w:rPr>
          <w:rFonts w:hint="eastAsia"/>
          <w:b w:val="0"/>
          <w:sz w:val="30"/>
          <w:szCs w:val="30"/>
        </w:rPr>
        <w:t>4.2 构建参数</w:t>
      </w:r>
      <w:bookmarkEnd w:id="23"/>
      <w:bookmarkEnd w:id="24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需填充其他参数，具体参考描述文档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5" w:name="_Toc2455"/>
      <w:bookmarkStart w:id="26" w:name="_Toc468377128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5"/>
      <w:bookmarkEnd w:id="26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A</w:t>
      </w:r>
      <w:r>
        <w:rPr>
          <w:rFonts w:hint="eastAsia" w:ascii="宋体" w:hAnsi="宋体" w:eastAsia="宋体" w:cs="Calibri"/>
          <w:kern w:val="2"/>
          <w:sz w:val="24"/>
          <w:szCs w:val="24"/>
          <w:lang w:val="en-US" w:eastAsia="zh-CN"/>
        </w:rPr>
        <w:t>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加密数据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将加密后的数据使用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编码（具体见示例代码）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7" w:name="_Toc15588"/>
      <w:bookmarkStart w:id="28" w:name="_Toc468377129"/>
      <w:r>
        <w:rPr>
          <w:rFonts w:hint="eastAsia"/>
          <w:b w:val="0"/>
          <w:sz w:val="30"/>
          <w:szCs w:val="30"/>
        </w:rPr>
        <w:t>4.4 发送请求</w:t>
      </w:r>
      <w:bookmarkEnd w:id="27"/>
      <w:bookmarkEnd w:id="28"/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提交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post </w:t>
      </w:r>
      <w:r>
        <w:rPr>
          <w:rFonts w:hint="eastAsia" w:ascii="宋体" w:hAnsi="宋体" w:eastAsia="宋体" w:cs="Calibri"/>
          <w:kern w:val="2"/>
          <w:sz w:val="24"/>
          <w:szCs w:val="24"/>
        </w:rPr>
        <w:t>请求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9" w:name="_Toc468377130"/>
      <w:bookmarkStart w:id="30" w:name="_Toc9414"/>
      <w:r>
        <w:rPr>
          <w:rFonts w:hint="eastAsia"/>
          <w:b w:val="0"/>
          <w:sz w:val="30"/>
          <w:szCs w:val="30"/>
        </w:rPr>
        <w:t>4.5 响应请求</w:t>
      </w:r>
      <w:bookmarkEnd w:id="29"/>
      <w:bookmarkEnd w:id="30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请求返回的状态</w:t>
      </w:r>
      <w:r>
        <w:rPr>
          <w:rFonts w:ascii="宋体" w:hAnsi="宋体" w:eastAsia="宋体" w:cs="Calibri"/>
          <w:kern w:val="2"/>
          <w:sz w:val="24"/>
          <w:szCs w:val="24"/>
        </w:rPr>
        <w:t>200</w:t>
      </w:r>
      <w:r>
        <w:rPr>
          <w:rFonts w:hint="eastAsia" w:ascii="宋体" w:hAnsi="宋体" w:eastAsia="宋体" w:cs="Calibri"/>
          <w:kern w:val="2"/>
          <w:sz w:val="24"/>
          <w:szCs w:val="24"/>
        </w:rPr>
        <w:t>为成功，其他都是错误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1" w:name="_Toc11380"/>
      <w:bookmarkStart w:id="32" w:name="_Toc468377131"/>
      <w:r>
        <w:rPr>
          <w:rFonts w:hint="eastAsia"/>
          <w:b w:val="0"/>
          <w:sz w:val="30"/>
          <w:szCs w:val="30"/>
        </w:rPr>
        <w:t>4.6 解密请求结果</w:t>
      </w:r>
      <w:bookmarkEnd w:id="31"/>
      <w:bookmarkEnd w:id="32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转换数据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hint="eastAsia" w:ascii="宋体" w:hAnsi="宋体" w:eastAsia="宋体" w:cs="Calibri"/>
          <w:kern w:val="2"/>
          <w:sz w:val="24"/>
          <w:szCs w:val="24"/>
          <w:lang w:val="en-US" w:eastAsia="zh-CN"/>
        </w:rPr>
        <w:t>Ahzx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解密数据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33" w:name="_Toc468377132"/>
      <w:bookmarkStart w:id="34" w:name="_Toc18782"/>
      <w:r>
        <w:rPr>
          <w:rFonts w:asciiTheme="majorEastAsia" w:hAnsiTheme="majorEastAsia" w:eastAsiaTheme="majorEastAsia"/>
          <w:sz w:val="32"/>
          <w:szCs w:val="32"/>
        </w:rPr>
        <w:t>5</w:t>
      </w:r>
      <w:r>
        <w:rPr>
          <w:rFonts w:hint="eastAsia" w:asciiTheme="majorEastAsia" w:hAnsiTheme="majorEastAsia" w:eastAsiaTheme="majorEastAsia"/>
          <w:sz w:val="32"/>
          <w:szCs w:val="32"/>
        </w:rPr>
        <w:t>附录</w:t>
      </w:r>
      <w:bookmarkEnd w:id="33"/>
      <w:bookmarkEnd w:id="34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5" w:name="_Toc468377133"/>
      <w:bookmarkStart w:id="36" w:name="_Toc16624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5"/>
      <w:bookmarkEnd w:id="3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warn_001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身份核验请求失败!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warn_002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申请人身份证,姓名校验不一致。建议再次核对输入信息!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warn_003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申请人身份证号码校验不存在。建议再次核对输入信息!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warn_004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申请人户籍照片不存在。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warn_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111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您输入的为无效身份证号码，请核对后重新输入!</w:t>
            </w:r>
          </w:p>
        </w:tc>
      </w:tr>
    </w:tbl>
    <w:p>
      <w:pPr>
        <w:pStyle w:val="3"/>
        <w:spacing w:before="240" w:after="240" w:line="415" w:lineRule="auto"/>
        <w:contextualSpacing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37" w:name="_Toc468377134"/>
      <w:bookmarkStart w:id="38" w:name="_Toc28855"/>
    </w:p>
    <w:p>
      <w:pPr>
        <w:pStyle w:val="3"/>
        <w:spacing w:before="240" w:after="240" w:line="415" w:lineRule="auto"/>
        <w:contextualSpacing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  <w:t>返回码(系统)</w:t>
      </w:r>
      <w:bookmarkEnd w:id="37"/>
      <w:bookmarkEnd w:id="38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000000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交易成功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000010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输入参数错误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200000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调用远程系统异常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200010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用户不存在或状态不存在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200011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产品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接口没有映射关系，或者产品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接口状态不正确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200012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用户没有找到产品的订购关系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200013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账号冻结，请联系相关安信征信的客服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200015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Account没有AES key,请联系安信运维人员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err_000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交易失败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err_008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客户端回调失败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err_012</w:t>
            </w:r>
          </w:p>
          <w:p>
            <w:pPr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传入参数不正确 </w:t>
            </w:r>
          </w:p>
        </w:tc>
      </w:tr>
    </w:tbl>
    <w:p/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F00"/>
    <w:rsid w:val="00085F2A"/>
    <w:rsid w:val="000B1974"/>
    <w:rsid w:val="000B3910"/>
    <w:rsid w:val="000D0B85"/>
    <w:rsid w:val="000D0EC4"/>
    <w:rsid w:val="000E1847"/>
    <w:rsid w:val="000E350B"/>
    <w:rsid w:val="000E528E"/>
    <w:rsid w:val="00106B94"/>
    <w:rsid w:val="00110BDE"/>
    <w:rsid w:val="00133AA8"/>
    <w:rsid w:val="00142272"/>
    <w:rsid w:val="001629F1"/>
    <w:rsid w:val="001676C4"/>
    <w:rsid w:val="001B6AD0"/>
    <w:rsid w:val="001C5427"/>
    <w:rsid w:val="001F2811"/>
    <w:rsid w:val="0021176E"/>
    <w:rsid w:val="002211E3"/>
    <w:rsid w:val="002378C5"/>
    <w:rsid w:val="00244E9C"/>
    <w:rsid w:val="00246878"/>
    <w:rsid w:val="00276B9B"/>
    <w:rsid w:val="00280598"/>
    <w:rsid w:val="0029054F"/>
    <w:rsid w:val="002973DE"/>
    <w:rsid w:val="002B3A5D"/>
    <w:rsid w:val="002C4A5A"/>
    <w:rsid w:val="002C53E7"/>
    <w:rsid w:val="002D59A5"/>
    <w:rsid w:val="002D6429"/>
    <w:rsid w:val="002D7E06"/>
    <w:rsid w:val="00323312"/>
    <w:rsid w:val="00323B43"/>
    <w:rsid w:val="00355276"/>
    <w:rsid w:val="00385A48"/>
    <w:rsid w:val="00395A4A"/>
    <w:rsid w:val="003A61FE"/>
    <w:rsid w:val="003B4998"/>
    <w:rsid w:val="003D37D8"/>
    <w:rsid w:val="00403B0C"/>
    <w:rsid w:val="00407B2A"/>
    <w:rsid w:val="00426133"/>
    <w:rsid w:val="004358AB"/>
    <w:rsid w:val="004F10CA"/>
    <w:rsid w:val="00530AC0"/>
    <w:rsid w:val="005676E7"/>
    <w:rsid w:val="005C507A"/>
    <w:rsid w:val="005D43C2"/>
    <w:rsid w:val="005E67C2"/>
    <w:rsid w:val="0060630C"/>
    <w:rsid w:val="006406C5"/>
    <w:rsid w:val="006A5929"/>
    <w:rsid w:val="006F26A5"/>
    <w:rsid w:val="006F62BB"/>
    <w:rsid w:val="0070168B"/>
    <w:rsid w:val="007120FE"/>
    <w:rsid w:val="00731368"/>
    <w:rsid w:val="0074614A"/>
    <w:rsid w:val="007477A0"/>
    <w:rsid w:val="007478E9"/>
    <w:rsid w:val="007940B3"/>
    <w:rsid w:val="007B78F9"/>
    <w:rsid w:val="007C4CF9"/>
    <w:rsid w:val="007D5660"/>
    <w:rsid w:val="007E4A86"/>
    <w:rsid w:val="00820D47"/>
    <w:rsid w:val="00821AA0"/>
    <w:rsid w:val="00822150"/>
    <w:rsid w:val="00836027"/>
    <w:rsid w:val="00852D1B"/>
    <w:rsid w:val="00880E05"/>
    <w:rsid w:val="008B7726"/>
    <w:rsid w:val="008E71F2"/>
    <w:rsid w:val="00924EC1"/>
    <w:rsid w:val="00967ED1"/>
    <w:rsid w:val="009851EF"/>
    <w:rsid w:val="009A345C"/>
    <w:rsid w:val="00A00221"/>
    <w:rsid w:val="00A025DE"/>
    <w:rsid w:val="00A10B5A"/>
    <w:rsid w:val="00A329FD"/>
    <w:rsid w:val="00A47F6A"/>
    <w:rsid w:val="00A65E82"/>
    <w:rsid w:val="00AC10F4"/>
    <w:rsid w:val="00AC73DD"/>
    <w:rsid w:val="00AE18FD"/>
    <w:rsid w:val="00AF5A37"/>
    <w:rsid w:val="00B20B68"/>
    <w:rsid w:val="00B231BF"/>
    <w:rsid w:val="00B45998"/>
    <w:rsid w:val="00B872A8"/>
    <w:rsid w:val="00C06734"/>
    <w:rsid w:val="00C34097"/>
    <w:rsid w:val="00C623E0"/>
    <w:rsid w:val="00C90458"/>
    <w:rsid w:val="00C92094"/>
    <w:rsid w:val="00CE253E"/>
    <w:rsid w:val="00CF111B"/>
    <w:rsid w:val="00D31D50"/>
    <w:rsid w:val="00D3627D"/>
    <w:rsid w:val="00D42641"/>
    <w:rsid w:val="00D91334"/>
    <w:rsid w:val="00DF3761"/>
    <w:rsid w:val="00E03481"/>
    <w:rsid w:val="00E07C1D"/>
    <w:rsid w:val="00E12C4D"/>
    <w:rsid w:val="00E14878"/>
    <w:rsid w:val="00E16EB7"/>
    <w:rsid w:val="00E61F9F"/>
    <w:rsid w:val="00E747D6"/>
    <w:rsid w:val="00E77189"/>
    <w:rsid w:val="00E91356"/>
    <w:rsid w:val="00EC4F36"/>
    <w:rsid w:val="00EE7E39"/>
    <w:rsid w:val="00F3383B"/>
    <w:rsid w:val="00F34631"/>
    <w:rsid w:val="00F67A7B"/>
    <w:rsid w:val="00F841F1"/>
    <w:rsid w:val="00F851D6"/>
    <w:rsid w:val="00F95099"/>
    <w:rsid w:val="00F953B1"/>
    <w:rsid w:val="00FA1719"/>
    <w:rsid w:val="00FB73AE"/>
    <w:rsid w:val="00FE4703"/>
    <w:rsid w:val="046C5886"/>
    <w:rsid w:val="13E47754"/>
    <w:rsid w:val="20DE1346"/>
    <w:rsid w:val="2BF85B71"/>
    <w:rsid w:val="37B97192"/>
    <w:rsid w:val="3FB264A9"/>
    <w:rsid w:val="4B1462AB"/>
    <w:rsid w:val="4F472E92"/>
    <w:rsid w:val="4FEE2333"/>
    <w:rsid w:val="509B5A6A"/>
    <w:rsid w:val="552866F6"/>
    <w:rsid w:val="5B5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8">
    <w:name w:val="Balloon Text"/>
    <w:basedOn w:val="1"/>
    <w:link w:val="22"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link w:val="18"/>
    <w:qFormat/>
    <w:uiPriority w:val="0"/>
    <w:pPr>
      <w:widowControl w:val="0"/>
      <w:adjustRightInd/>
      <w:snapToGrid/>
      <w:spacing w:after="0" w:line="300" w:lineRule="auto"/>
      <w:ind w:firstLine="200" w:firstLineChars="200"/>
      <w:jc w:val="center"/>
    </w:pPr>
    <w:rPr>
      <w:rFonts w:ascii="Arial" w:hAnsi="Arial" w:eastAsia="黑体" w:cs="Times New Roman"/>
      <w:b/>
      <w:kern w:val="2"/>
      <w:sz w:val="30"/>
      <w:szCs w:val="24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副标题 Char"/>
    <w:basedOn w:val="14"/>
    <w:link w:val="12"/>
    <w:qFormat/>
    <w:uiPriority w:val="0"/>
    <w:rPr>
      <w:rFonts w:ascii="Arial" w:hAnsi="Arial" w:eastAsia="黑体" w:cs="Times New Roman"/>
      <w:b/>
      <w:kern w:val="2"/>
      <w:sz w:val="30"/>
      <w:szCs w:val="24"/>
    </w:rPr>
  </w:style>
  <w:style w:type="paragraph" w:customStyle="1" w:styleId="19">
    <w:name w:val="文档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52"/>
      <w:szCs w:val="72"/>
    </w:rPr>
  </w:style>
  <w:style w:type="paragraph" w:customStyle="1" w:styleId="20">
    <w:name w:val="表头文字"/>
    <w:basedOn w:val="1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customStyle="1" w:styleId="21">
    <w:name w:val="文档小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30"/>
      <w:szCs w:val="72"/>
    </w:rPr>
  </w:style>
  <w:style w:type="character" w:customStyle="1" w:styleId="22">
    <w:name w:val="批注框文本 Char"/>
    <w:basedOn w:val="14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4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5">
    <w:name w:val="页眉 Char"/>
    <w:basedOn w:val="14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页脚 Char"/>
    <w:basedOn w:val="14"/>
    <w:link w:val="9"/>
    <w:semiHidden/>
    <w:qFormat/>
    <w:uiPriority w:val="99"/>
    <w:rPr>
      <w:rFonts w:ascii="Tahoma" w:hAnsi="Tahoma"/>
      <w:sz w:val="18"/>
      <w:szCs w:val="1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4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paragraph" w:customStyle="1" w:styleId="29">
    <w:name w:val="表内容"/>
    <w:basedOn w:val="1"/>
    <w:qFormat/>
    <w:uiPriority w:val="0"/>
    <w:pPr>
      <w:widowControl w:val="0"/>
      <w:adjustRightInd/>
      <w:snapToGrid/>
      <w:spacing w:after="0" w:line="360" w:lineRule="auto"/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30">
    <w:name w:val="Table Text"/>
    <w:basedOn w:val="1"/>
    <w:qFormat/>
    <w:uiPriority w:val="0"/>
    <w:pPr>
      <w:keepLines/>
      <w:adjustRightInd/>
      <w:snapToGrid/>
      <w:spacing w:after="120" w:line="360" w:lineRule="auto"/>
      <w:jc w:val="both"/>
    </w:pPr>
    <w:rPr>
      <w:rFonts w:ascii="Book Antiqua" w:hAnsi="Book Antiqua" w:eastAsia="宋体" w:cs="Times New Roman"/>
      <w:kern w:val="2"/>
      <w:sz w:val="16"/>
      <w:szCs w:val="20"/>
    </w:rPr>
  </w:style>
  <w:style w:type="character" w:customStyle="1" w:styleId="3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590D45-866F-4DA2-AB6E-F7C9C4E522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509</Words>
  <Characters>2905</Characters>
  <Lines>24</Lines>
  <Paragraphs>6</Paragraphs>
  <ScaleCrop>false</ScaleCrop>
  <LinksUpToDate>false</LinksUpToDate>
  <CharactersWithSpaces>3408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黄星辰</dc:creator>
  <cp:lastModifiedBy>黄星辰</cp:lastModifiedBy>
  <dcterms:modified xsi:type="dcterms:W3CDTF">2017-04-18T06:38:09Z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