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gyw5wetyvp4" w:id="0"/>
      <w:bookmarkEnd w:id="0"/>
      <w:r w:rsidDel="00000000" w:rsidR="00000000" w:rsidRPr="00000000">
        <w:rPr>
          <w:b w:val="1"/>
          <w:color w:val="000000"/>
          <w:sz w:val="26"/>
          <w:szCs w:val="26"/>
          <w:rtl w:val="0"/>
        </w:rPr>
        <w:t xml:space="preserve">The Differences Between SSDs and HDDs:</w:t>
      </w:r>
    </w:p>
    <w:p w:rsidR="00000000" w:rsidDel="00000000" w:rsidP="00000000" w:rsidRDefault="00000000" w:rsidRPr="00000000" w14:paraId="00000002">
      <w:pPr>
        <w:spacing w:after="240" w:before="240" w:lineRule="auto"/>
        <w:rPr/>
      </w:pPr>
      <w:r w:rsidDel="00000000" w:rsidR="00000000" w:rsidRPr="00000000">
        <w:rPr>
          <w:b w:val="1"/>
          <w:rtl w:val="0"/>
        </w:rPr>
        <w:t xml:space="preserve">1. Storage medium and read/write method:</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HDDs fix a stack of magnetic platters onto a motor and determine 0s and 1s based on the magnetisation direction of each area on the platters. They write data by changing the magnetisation direction using the current direction through the read/write head, and read data by sensing the polarity of the induced current.</w:t>
      </w:r>
    </w:p>
    <w:p w:rsidR="00000000" w:rsidDel="00000000" w:rsidP="00000000" w:rsidRDefault="00000000" w:rsidRPr="00000000" w14:paraId="00000004">
      <w:pPr>
        <w:spacing w:after="240" w:before="240" w:lineRule="auto"/>
        <w:rPr/>
      </w:pPr>
      <w:r w:rsidDel="00000000" w:rsidR="00000000" w:rsidRPr="00000000">
        <w:rPr>
          <w:rtl w:val="0"/>
        </w:rPr>
        <w:t xml:space="preserve">SSDs use floating-gate transistors. The floating gate is a conductor that stores electrons, sandwiched between two silicon dioxide layers. The silicon dioxide comes from the silicon substrate after undergoing an oxidation process. The structure of the entire floating-gate transistor looks like this:</w:t>
      </w:r>
    </w:p>
    <w:p w:rsidR="00000000" w:rsidDel="00000000" w:rsidP="00000000" w:rsidRDefault="00000000" w:rsidRPr="00000000" w14:paraId="00000005">
      <w:pPr>
        <w:rPr/>
      </w:pPr>
      <w:r w:rsidDel="00000000" w:rsidR="00000000" w:rsidRPr="00000000">
        <w:rPr/>
        <w:drawing>
          <wp:inline distB="114300" distT="114300" distL="114300" distR="114300">
            <wp:extent cx="5731200" cy="3225800"/>
            <wp:effectExtent b="0" l="0" r="0" t="0"/>
            <wp:docPr id="2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drawing>
                <wp:inline distB="114300" distT="114300" distL="114300" distR="114300">
                  <wp:extent cx="190500" cy="190500"/>
                  <wp:effectExtent b="0" l="0" r="0" t="0"/>
                  <wp:docPr id="2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（Black Concrete）：Si substrate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drawing>
                <wp:inline distB="114300" distT="114300" distL="114300" distR="114300">
                  <wp:extent cx="190500" cy="1905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（Block of Iron）：Source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drawing>
                <wp:inline distB="114300" distT="114300" distL="114300" distR="114300">
                  <wp:extent cx="190500" cy="190500"/>
                  <wp:effectExtent b="0" l="0" r="0" t="0"/>
                  <wp:docPr id="2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（Block of Diamond）：Drain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drawing>
                <wp:inline distB="114300" distT="114300" distL="114300" distR="114300">
                  <wp:extent cx="190500" cy="1905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（White Concrete Powder）：SiO₂ insulating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drawing>
                <wp:inline distB="114300" distT="114300" distL="114300" distR="114300">
                  <wp:extent cx="190500" cy="1905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（Waxed Copper Block）：Cu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drawing>
                <wp:inline distB="114300" distT="114300" distL="114300" distR="114300">
                  <wp:extent cx="190500" cy="190500"/>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（Purple Concrete）：Floating gate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drawing>
                <wp:inline distB="114300" distT="114300" distL="114300" distR="114300">
                  <wp:extent cx="190500" cy="1905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（Waxed Chiseled Copper）：Control gate</w:t>
            </w:r>
          </w:p>
        </w:tc>
      </w:tr>
    </w:tbl>
    <w:p w:rsidR="00000000" w:rsidDel="00000000" w:rsidP="00000000" w:rsidRDefault="00000000" w:rsidRPr="00000000" w14:paraId="0000000F">
      <w:pPr>
        <w:rPr/>
      </w:pPr>
      <w:r w:rsidDel="00000000" w:rsidR="00000000" w:rsidRPr="00000000">
        <w:rPr>
          <w:b w:val="1"/>
          <w:rtl w:val="0"/>
        </w:rPr>
        <w:t xml:space="preserve">When reading, </w:t>
      </w:r>
      <w:r w:rsidDel="00000000" w:rsidR="00000000" w:rsidRPr="00000000">
        <w:rPr>
          <w:rtl w:val="0"/>
        </w:rPr>
        <w:t xml:space="preserve">different voltages are applied to the </w:t>
      </w:r>
      <w:r w:rsidDel="00000000" w:rsidR="00000000" w:rsidRPr="00000000">
        <w:rPr/>
        <w:drawing>
          <wp:inline distB="114300" distT="114300" distL="114300" distR="114300">
            <wp:extent cx="190500" cy="190500"/>
            <wp:effectExtent b="0" l="0" r="0" t="0"/>
            <wp:docPr id="2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control gate and the </w:t>
      </w:r>
      <w:r w:rsidDel="00000000" w:rsidR="00000000" w:rsidRPr="00000000">
        <w:rPr/>
        <w:drawing>
          <wp:inline distB="114300" distT="114300" distL="114300" distR="114300">
            <wp:extent cx="190500" cy="190500"/>
            <wp:effectExtent b="0" l="0" r="0" t="0"/>
            <wp:docPr id="2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drain. According to Coulomb’s law, free electrons in the </w:t>
      </w:r>
      <w:r w:rsidDel="00000000" w:rsidR="00000000" w:rsidRPr="00000000">
        <w:rPr/>
        <w:drawing>
          <wp:inline distB="114300" distT="114300" distL="114300" distR="114300">
            <wp:extent cx="190500" cy="190500"/>
            <wp:effectExtent b="0" l="0" r="0" t="0"/>
            <wp:docPr id="2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Si substrate will be attracted by the voltage of the </w:t>
      </w:r>
      <w:r w:rsidDel="00000000" w:rsidR="00000000" w:rsidRPr="00000000">
        <w:rPr/>
        <w:drawing>
          <wp:inline distB="114300" distT="114300" distL="114300" distR="114300">
            <wp:extent cx="190500" cy="190500"/>
            <wp:effectExtent b="0" l="0" r="0" t="0"/>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control gate. However, due to </w:t>
      </w:r>
      <w:r w:rsidDel="00000000" w:rsidR="00000000" w:rsidRPr="00000000">
        <w:rPr/>
        <w:drawing>
          <wp:inline distB="114300" distT="114300" distL="114300" distR="114300">
            <wp:extent cx="190500" cy="190500"/>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insulating SiO₂, electrons will accumulate between the </w:t>
      </w:r>
      <w:r w:rsidDel="00000000" w:rsidR="00000000" w:rsidRPr="00000000">
        <w:rPr/>
        <w:drawing>
          <wp:inline distB="114300" distT="114300" distL="114300" distR="114300">
            <wp:extent cx="190500" cy="190500"/>
            <wp:effectExtent b="0" l="0" r="0" t="0"/>
            <wp:docPr id="1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source and the </w:t>
      </w:r>
      <w:r w:rsidDel="00000000" w:rsidR="00000000" w:rsidRPr="00000000">
        <w:rPr/>
        <w:drawing>
          <wp:inline distB="114300" distT="114300" distL="114300" distR="114300">
            <wp:extent cx="190500" cy="190500"/>
            <wp:effectExtent b="0" l="0" r="0" t="0"/>
            <wp:docPr id="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drain. When the accumulation reaches a certain level (threshold voltage), these electrons will connect the </w:t>
      </w:r>
      <w:r w:rsidDel="00000000" w:rsidR="00000000" w:rsidRPr="00000000">
        <w:rPr/>
        <w:drawing>
          <wp:inline distB="114300" distT="114300" distL="114300" distR="114300">
            <wp:extent cx="190500" cy="1905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source and </w:t>
      </w:r>
      <w:r w:rsidDel="00000000" w:rsidR="00000000" w:rsidRPr="00000000">
        <w:rPr/>
        <w:drawing>
          <wp:inline distB="114300" distT="114300" distL="114300" distR="114300">
            <wp:extent cx="190500" cy="190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drain to form a conductive path, and a current is formed due to the voltage at the </w:t>
      </w:r>
      <w:r w:rsidDel="00000000" w:rsidR="00000000" w:rsidRPr="00000000">
        <w:rPr/>
        <w:drawing>
          <wp:inline distB="114300" distT="114300" distL="114300" distR="114300">
            <wp:extent cx="190500" cy="190500"/>
            <wp:effectExtent b="0" l="0" r="0" t="0"/>
            <wp:docPr id="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drain. When the </w:t>
      </w:r>
      <w:r w:rsidDel="00000000" w:rsidR="00000000" w:rsidRPr="00000000">
        <w:rPr/>
        <w:drawing>
          <wp:inline distB="114300" distT="114300" distL="114300" distR="114300">
            <wp:extent cx="190500" cy="1905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source detects the current, it reads out 1.</w:t>
      </w:r>
    </w:p>
    <w:p w:rsidR="00000000" w:rsidDel="00000000" w:rsidP="00000000" w:rsidRDefault="00000000" w:rsidRPr="00000000" w14:paraId="00000010">
      <w:pPr>
        <w:rPr/>
      </w:pPr>
      <w:r w:rsidDel="00000000" w:rsidR="00000000" w:rsidRPr="00000000">
        <w:rPr>
          <w:rtl w:val="0"/>
        </w:rPr>
        <w:t xml:space="preserve">Suppose there are more electrons in the </w:t>
      </w:r>
      <w:r w:rsidDel="00000000" w:rsidR="00000000" w:rsidRPr="00000000">
        <w:rPr/>
        <w:drawing>
          <wp:inline distB="114300" distT="114300" distL="114300" distR="114300">
            <wp:extent cx="190500" cy="190500"/>
            <wp:effectExtent b="0" l="0" r="0" t="0"/>
            <wp:docPr id="1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floating gate than the threshold. In that case, the electric field generated can counteract the electric field of the </w:t>
      </w:r>
      <w:r w:rsidDel="00000000" w:rsidR="00000000" w:rsidRPr="00000000">
        <w:rPr/>
        <w:drawing>
          <wp:inline distB="114300" distT="114300" distL="114300" distR="114300">
            <wp:extent cx="190500" cy="190500"/>
            <wp:effectExtent b="0" l="0" r="0" t="0"/>
            <wp:docPr id="2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control gate through superposition so that the number of free electrons attracted in the </w:t>
      </w:r>
      <w:r w:rsidDel="00000000" w:rsidR="00000000" w:rsidRPr="00000000">
        <w:rPr/>
        <w:drawing>
          <wp:inline distB="114300" distT="114300" distL="114300" distR="114300">
            <wp:extent cx="190500" cy="190500"/>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Si substrate does not reach the threshold voltage. If no current is detected at the </w:t>
      </w:r>
      <w:r w:rsidDel="00000000" w:rsidR="00000000" w:rsidRPr="00000000">
        <w:rPr/>
        <w:drawing>
          <wp:inline distB="114300" distT="114300" distL="114300" distR="114300">
            <wp:extent cx="190500" cy="1905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source, 0 is read out.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When writing,</w:t>
      </w:r>
      <w:r w:rsidDel="00000000" w:rsidR="00000000" w:rsidRPr="00000000">
        <w:rPr>
          <w:rtl w:val="0"/>
        </w:rPr>
        <w:t xml:space="preserve"> there are usually two methods:</w:t>
      </w:r>
      <w:r w:rsidDel="00000000" w:rsidR="00000000" w:rsidRPr="00000000">
        <w:rPr>
          <w:b w:val="1"/>
          <w:rtl w:val="0"/>
        </w:rPr>
        <w:t xml:space="preserve"> </w:t>
      </w:r>
      <w:r w:rsidDel="00000000" w:rsidR="00000000" w:rsidRPr="00000000">
        <w:rPr>
          <w:b w:val="1"/>
          <w:i w:val="1"/>
          <w:rtl w:val="0"/>
        </w:rPr>
        <w:t xml:space="preserve">Hot carrier injection</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i w:val="1"/>
          <w:rtl w:val="0"/>
        </w:rPr>
        <w:t xml:space="preserve">Fowler–Nordheim tunnelling (FN tunnelling)</w:t>
      </w:r>
      <w:r w:rsidDel="00000000" w:rsidR="00000000" w:rsidRPr="00000000">
        <w:rPr>
          <w:rtl w:val="0"/>
        </w:rPr>
        <w:t xml:space="preserv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Hot carrier injection applies a high voltage between the </w:t>
      </w:r>
      <w:r w:rsidDel="00000000" w:rsidR="00000000" w:rsidRPr="00000000">
        <w:rPr/>
        <w:drawing>
          <wp:inline distB="114300" distT="114300" distL="114300" distR="114300">
            <wp:extent cx="190500" cy="190500"/>
            <wp:effectExtent b="0" l="0" r="0" t="0"/>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control gate and the </w:t>
      </w:r>
      <w:r w:rsidDel="00000000" w:rsidR="00000000" w:rsidRPr="00000000">
        <w:rPr/>
        <w:drawing>
          <wp:inline distB="114300" distT="114300" distL="114300" distR="114300">
            <wp:extent cx="190500" cy="190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drain, converting electric potential energy into electron kinetic energy. The electrons punch through the insulating layer and are injected into the floating gate. However, repeated impacts can cause the oxide layer to age and leak.</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FN tunnelling is based on the wave-particle duality of electrons. When the electron’s wave function approaches the edge of the barrier (</w:t>
      </w:r>
      <w:r w:rsidDel="00000000" w:rsidR="00000000" w:rsidRPr="00000000">
        <w:rPr/>
        <w:drawing>
          <wp:inline distB="114300" distT="114300" distL="114300" distR="114300">
            <wp:extent cx="190500" cy="19050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the insulating layer), part of the wave function extends into the barrier region and decays slowly due to the barrier. Suppose the decayed wave function still has a chance to extend to the other side of the insulating layer. In that case, there is a non-zero probability of finding the electron on the other side (inside the </w:t>
      </w:r>
      <w:r w:rsidDel="00000000" w:rsidR="00000000" w:rsidRPr="00000000">
        <w:rPr/>
        <w:drawing>
          <wp:inline distB="114300" distT="114300" distL="114300" distR="114300">
            <wp:extent cx="190500" cy="1905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floating gate). When a high voltage is applied to the </w:t>
      </w:r>
      <w:r w:rsidDel="00000000" w:rsidR="00000000" w:rsidRPr="00000000">
        <w:rPr/>
        <w:drawing>
          <wp:inline distB="114300" distT="114300" distL="114300" distR="114300">
            <wp:extent cx="190500" cy="1905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control gate, a strong electric field lowers the barrier, increasing the probability of electrons tunnelling into the </w:t>
      </w:r>
      <w:r w:rsidDel="00000000" w:rsidR="00000000" w:rsidRPr="00000000">
        <w:rPr/>
        <w:drawing>
          <wp:inline distB="114300" distT="114300" distL="114300" distR="114300">
            <wp:extent cx="190500" cy="1905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floating gate, allowing electrons to enter the floating gate. When reverse voltage is applied, electrons can similarly be “pulled back.”</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If the number of electrons in the floating gate is less than a certain threshold or none, it represents 1; otherwise, it means 0.</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2. Read/write speed:</w:t>
      </w:r>
    </w:p>
    <w:p w:rsidR="00000000" w:rsidDel="00000000" w:rsidP="00000000" w:rsidRDefault="00000000" w:rsidRPr="00000000" w14:paraId="00000017">
      <w:pPr>
        <w:spacing w:after="240" w:before="240" w:lineRule="auto"/>
        <w:rPr/>
      </w:pPr>
      <w:r w:rsidDel="00000000" w:rsidR="00000000" w:rsidRPr="00000000">
        <w:rPr>
          <w:rtl w:val="0"/>
        </w:rPr>
        <w:t xml:space="preserve">Due to its physical structure, an HDD requires a lot of time for seek operations, rotational delay, etc., and is limited by motor speed (after all, it can't spin so fast that the platter explodes like an ageing angle grinder). Therefore, its random read/write performance is not high.</w:t>
      </w:r>
    </w:p>
    <w:p w:rsidR="00000000" w:rsidDel="00000000" w:rsidP="00000000" w:rsidRDefault="00000000" w:rsidRPr="00000000" w14:paraId="00000018">
      <w:pPr>
        <w:spacing w:after="240" w:before="240" w:lineRule="auto"/>
        <w:rPr/>
      </w:pPr>
      <w:r w:rsidDel="00000000" w:rsidR="00000000" w:rsidRPr="00000000">
        <w:rPr>
          <w:rtl w:val="0"/>
        </w:rPr>
        <w:t xml:space="preserve">SSD has no seek or rotational delay, so compared to HDD, the latency for accessing any area is almost the same, and the performance difference between sequential and random read/write is slight (especially performing better under low latency and high concurrency).</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3. Lifespan:</w:t>
      </w:r>
    </w:p>
    <w:p w:rsidR="00000000" w:rsidDel="00000000" w:rsidP="00000000" w:rsidRDefault="00000000" w:rsidRPr="00000000" w14:paraId="0000001A">
      <w:pPr>
        <w:numPr>
          <w:ilvl w:val="0"/>
          <w:numId w:val="2"/>
        </w:numPr>
        <w:spacing w:after="0" w:afterAutospacing="0" w:before="240" w:lineRule="auto"/>
        <w:ind w:left="720" w:hanging="360"/>
        <w:rPr>
          <w:u w:val="none"/>
        </w:rPr>
      </w:pPr>
      <w:r w:rsidDel="00000000" w:rsidR="00000000" w:rsidRPr="00000000">
        <w:rPr>
          <w:rtl w:val="0"/>
        </w:rPr>
        <w:t xml:space="preserve">HDD platters can be overwritten repeatedly, while SSDs, due to their writing principle, cause the insulating layer to age with each write, resulting in limited read/write cycles for each block.</w:t>
      </w:r>
    </w:p>
    <w:p w:rsidR="00000000" w:rsidDel="00000000" w:rsidP="00000000" w:rsidRDefault="00000000" w:rsidRPr="00000000" w14:paraId="0000001B">
      <w:pPr>
        <w:numPr>
          <w:ilvl w:val="0"/>
          <w:numId w:val="2"/>
        </w:numPr>
        <w:spacing w:after="240" w:before="0" w:beforeAutospacing="0" w:lineRule="auto"/>
        <w:ind w:left="720" w:hanging="360"/>
        <w:rPr>
          <w:u w:val="none"/>
        </w:rPr>
      </w:pPr>
      <w:r w:rsidDel="00000000" w:rsidR="00000000" w:rsidRPr="00000000">
        <w:rPr>
          <w:rtl w:val="0"/>
        </w:rPr>
        <w:t xml:space="preserve">Because of their mechanical structure, HDDs are very sensitive to vibration. During operation, if an external force causes vibration, the read/write head can easily scratch the platter surface and damage it. In contrast, SSDs are not so fragile.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4. Noise:</w:t>
      </w:r>
    </w:p>
    <w:p w:rsidR="00000000" w:rsidDel="00000000" w:rsidP="00000000" w:rsidRDefault="00000000" w:rsidRPr="00000000" w14:paraId="0000001D">
      <w:pPr>
        <w:spacing w:after="240" w:before="240" w:lineRule="auto"/>
        <w:rPr/>
      </w:pPr>
      <w:r w:rsidDel="00000000" w:rsidR="00000000" w:rsidRPr="00000000">
        <w:rPr>
          <w:rtl w:val="0"/>
        </w:rPr>
        <w:t xml:space="preserve">When operating, HDDs produce a lot of noise due to the spinning motor and the back-and-forth seeking of the head (and the noise is worse for ageing HDDs). At startup, besides the cooling fan, the most obvious beep~ and buzzing noise usually comes from the HDD. SSDs do not make such noise.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5. Price:</w:t>
      </w:r>
    </w:p>
    <w:p w:rsidR="00000000" w:rsidDel="00000000" w:rsidP="00000000" w:rsidRDefault="00000000" w:rsidRPr="00000000" w14:paraId="0000001F">
      <w:pPr>
        <w:spacing w:after="240" w:before="240" w:lineRule="auto"/>
        <w:rPr/>
      </w:pPr>
      <w:r w:rsidDel="00000000" w:rsidR="00000000" w:rsidRPr="00000000">
        <w:rPr>
          <w:rtl w:val="0"/>
        </w:rPr>
        <w:t xml:space="preserve">Currently, a consumer-grade HDD with 4TB capacity can be bought in China for around CNY 500 (about CAD 100), while an SSD costs around CNY 1700 (about CAD 360). Converting this, HDD costs about CAD 25/TB, while SSD costs about CAD 90/TB. In Canada, this number is only higher.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