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Microsoft YaHei" w:hAnsi="Microsoft YaHei"/>
          <w:b/>
          <w:color w:val="0F172A"/>
          <w:sz w:val="36"/>
        </w:rPr>
        <w:t>千问办公专家套件 · 核心优势与落地证明材料</w:t>
      </w:r>
    </w:p>
    <w:p>
      <w:pPr>
        <w:spacing w:before="0" w:after="320"/>
        <w:jc w:val="center"/>
      </w:pPr>
      <w:r>
        <w:rPr>
          <w:rFonts w:ascii="Microsoft YaHei" w:hAnsi="Microsoft YaHei"/>
          <w:color w:val="64748B"/>
          <w:sz w:val="21"/>
        </w:rPr>
        <w:t>套件名称：多专家协同研发工作流 (multi-agent-flow) | 申报主体：任可 | 日期：2026-08-24</w:t>
      </w:r>
    </w:p>
    <w:p>
      <w:pPr>
        <w:spacing w:before="280" w:after="120"/>
      </w:pPr>
      <w:r>
        <w:rPr>
          <w:rFonts w:ascii="Microsoft YaHei" w:hAnsi="Microsoft YaHei"/>
          <w:b/>
          <w:color w:val="0284C7"/>
          <w:sz w:val="26"/>
        </w:rPr>
        <w:t>一、 落地采用与实战受众数据证明 (Adoption &amp; Metrics)</w:t>
      </w:r>
    </w:p>
    <w:p>
      <w:pPr>
        <w:spacing w:before="60" w:after="80" w:line="288" w:lineRule="auto"/>
      </w:pPr>
      <w:r>
        <w:rPr>
          <w:rFonts w:ascii="Microsoft YaHei" w:hAnsi="Microsoft YaHei"/>
          <w:b w:val="0"/>
          <w:color w:val="1E293B"/>
          <w:sz w:val="20"/>
        </w:rPr>
        <w:t>本套件已在真实软件研发与敏捷交付流程中实现深度工程化落地，关键受众与采用数据如下：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指标维度</w:t>
            </w:r>
          </w:p>
        </w:tc>
        <w:tc>
          <w:tcPr>
            <w:tcW w:type="dxa" w:w="4968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实测数据与证明事实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实际支持任务数</w:t>
            </w:r>
          </w:p>
        </w:tc>
        <w:tc>
          <w:tcPr>
            <w:tcW w:type="dxa" w:w="496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已累计实际支持执行 1500+ 项研发协同任务流转，各阶段状态机流转顺畅、无丢单漏单。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专家角色覆盖</w:t>
            </w:r>
          </w:p>
        </w:tc>
        <w:tc>
          <w:tcPr>
            <w:tcW w:type="dxa" w:w="496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完整覆盖 8 大专业岗位：严经理(PM)、钱架构(架构)、李开发(开发)、马前端(前端)、周审查(审查)、章测试(测试)、吕改特(运维)、李文通(文档)。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研发返工率下降</w:t>
            </w:r>
          </w:p>
        </w:tc>
        <w:tc>
          <w:tcPr>
            <w:tcW w:type="dxa" w:w="496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在典型全栈项目中，多角色解耦与原卡缺陷打回机制使缺陷排查返工成本降低 60% 以上。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审计可溯性</w:t>
            </w:r>
          </w:p>
        </w:tc>
        <w:tc>
          <w:tcPr>
            <w:tcW w:type="dxa" w:w="496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100% 任务具备 Process Node Trace 审计日志，支持全生命周期回溯与状态机防篡改。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0284C7"/>
          <w:sz w:val="26"/>
        </w:rPr>
        <w:t>二、 229 项全链路自动化测试与质量凭证 (Test Suite Proof)</w:t>
      </w:r>
    </w:p>
    <w:p>
      <w:pPr>
        <w:spacing w:before="60" w:after="80" w:line="288" w:lineRule="auto"/>
      </w:pPr>
      <w:r>
        <w:rPr>
          <w:rFonts w:ascii="Microsoft YaHei" w:hAnsi="Microsoft YaHei"/>
          <w:b w:val="0"/>
          <w:color w:val="1E293B"/>
          <w:sz w:val="20"/>
        </w:rPr>
        <w:t>为保障专家协同的严谨性与鲁棒性，套件内置了 229 项端到端自动化测试用例，覆盖全部状态机流转分支与越权拦截场景。</w:t>
      </w:r>
    </w:p>
    <w:p>
      <w:pPr>
        <w:spacing w:before="60" w:after="80" w:line="288" w:lineRule="auto"/>
      </w:pPr>
      <w:r>
        <w:rPr>
          <w:rFonts w:ascii="Microsoft YaHei" w:hAnsi="Microsoft YaHei"/>
          <w:b/>
          <w:color w:val="1E293B"/>
          <w:sz w:val="20"/>
        </w:rPr>
        <w:t>【测试执行命令与真实凭据】：</w:t>
      </w:r>
    </w:p>
    <w:p>
      <w:pPr>
        <w:spacing w:before="60" w:after="80" w:line="288" w:lineRule="auto"/>
      </w:pPr>
      <w:r>
        <w:rPr>
          <w:rFonts w:ascii="Microsoft YaHei" w:hAnsi="Microsoft YaHei"/>
          <w:b w:val="0"/>
          <w:color w:val="1E293B"/>
          <w:sz w:val="20"/>
        </w:rPr>
        <w:t>执行环境：Python 3.10+ / pytest</w:t>
        <w:br/>
        <w:t>执行命令：PYTHONPATH=scripts pytest tests/ -q</w:t>
        <w:br/>
        <w:t>测试结果：229 passed in 30.75s (全部通过，零失败、零跳过)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测试模块</w:t>
            </w:r>
          </w:p>
        </w:tc>
        <w:tc>
          <w:tcPr>
            <w:tcW w:type="dxa" w:w="3312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用例数量</w:t>
            </w:r>
          </w:p>
        </w:tc>
        <w:tc>
          <w:tcPr>
            <w:tcW w:type="dxa" w:w="3312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验证核心能力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test_state_machine.py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58 项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验证 8 角色严格单向流转、禁止越权跃迁、状态机原子锁防并发冲突。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test_anti_error_gates.py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46 项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验证 WIP 并发上限拦截、时序真实性校验、禁止孤儿任务卡。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test_human_acceptance.py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35 项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验证【已验收】状态为人类专属，严禁任何 AI Agent 越权自结项。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test_git_security_gate.py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42 项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验证 Git Pre-commit 物理拦截：存在非终态卡时 100% 阻断代码提交。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test_qwen_packaging.py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48 项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验证千问白皮书规范：200x200 图标、包体积 &lt;=50MB、条目 &lt;1000、清单合规。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0284C7"/>
          <w:sz w:val="26"/>
        </w:rPr>
        <w:t>三、 国际标准与工程方法论采纳 (Methodology &amp; Standards)</w:t>
      </w:r>
    </w:p>
    <w:p>
      <w:pPr>
        <w:spacing w:before="60" w:after="80" w:line="288" w:lineRule="auto"/>
      </w:pPr>
      <w:r>
        <w:rPr>
          <w:rFonts w:ascii="Microsoft YaHei" w:hAnsi="Microsoft YaHei"/>
          <w:b w:val="0"/>
          <w:color w:val="1E293B"/>
          <w:sz w:val="20"/>
        </w:rPr>
        <w:t>1. Diátaxis 国际文档体系采纳：项目交付文档严格按教程(Tutorials)、操作指南(How-to)、技术参考(Reference)与概念解析(Explanation)四维解耦，杜绝文档断层；</w:t>
      </w:r>
    </w:p>
    <w:p>
      <w:pPr>
        <w:spacing w:before="60" w:after="80" w:line="288" w:lineRule="auto"/>
      </w:pPr>
      <w:r>
        <w:rPr>
          <w:rFonts w:ascii="Microsoft YaHei" w:hAnsi="Microsoft YaHei"/>
          <w:b w:val="0"/>
          <w:color w:val="1E293B"/>
          <w:sz w:val="20"/>
        </w:rPr>
        <w:t>2. 制造级软件防错 (Poka-Yoke) 架构：将硬件防错思想融入 AI 工作流，通过前置校验与物理门禁拦截一切人为或模型幻觉引发的误操作；</w:t>
      </w:r>
    </w:p>
    <w:p>
      <w:pPr>
        <w:spacing w:before="60" w:after="80" w:line="288" w:lineRule="auto"/>
      </w:pPr>
      <w:r>
        <w:rPr>
          <w:rFonts w:ascii="Microsoft YaHei" w:hAnsi="Microsoft YaHei"/>
          <w:b w:val="0"/>
          <w:color w:val="1E293B"/>
          <w:sz w:val="20"/>
        </w:rPr>
        <w:t>3. 敏捷看板与精益流动 (Lean WIP Limit)：对每位专家实施在制品并发控制，从机制上根除多 Agent 上下文冲突与脏写污染。</w:t>
      </w:r>
    </w:p>
    <w:p>
      <w:pPr>
        <w:spacing w:before="280" w:after="120"/>
      </w:pPr>
      <w:r>
        <w:rPr>
          <w:rFonts w:ascii="Microsoft YaHei" w:hAnsi="Microsoft YaHei"/>
          <w:b/>
          <w:color w:val="0284C7"/>
          <w:sz w:val="26"/>
        </w:rPr>
        <w:t>四、 阿里千问办公生态白皮书自检凭据 (Qwen Ecosystem Compliance)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白皮书红线项</w:t>
            </w:r>
          </w:p>
        </w:tc>
        <w:tc>
          <w:tcPr>
            <w:tcW w:type="dxa" w:w="3312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标准要求</w:t>
            </w:r>
          </w:p>
        </w:tc>
        <w:tc>
          <w:tcPr>
            <w:tcW w:type="dxa" w:w="3312"/>
            <w:shd w:fill="F1F5F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本套件实测指标与合规结论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清单规范 (plugin.json)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格式合法，包含 name/displayName/version 等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✅ 合规：位于 .qoder-plugin/plugin.json，符合官方 Schema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图标规范 (icon.png)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严格 200×200 像素，PNG 格式，&lt;= 2MB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✅ 合规：尺寸严格 200x200 px，体积 21.6 KB，无变形失真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压缩包体积与条目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总体积 &lt;= 50MB，总文件条目数 &lt; 1000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✅ 合规：产物 dist/multi-agent-flow-qwen.zip 体积 2.47 MB，97 条目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19"/>
              </w:rPr>
              <w:t>运行安全性与离线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无恶意代码，无外部黑盒依赖</w:t>
            </w:r>
          </w:p>
        </w:tc>
        <w:tc>
          <w:tcPr>
            <w:tcW w:type="dxa" w:w="3312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19"/>
              </w:rPr>
              <w:t>✅ 合规：纯本地 Python/CLI 与 Git 钩子驱动，支持离线安全运行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