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Microsoft YaHei" w:hAnsi="Microsoft YaHei"/>
          <w:b/>
          <w:color w:val="0F172A"/>
          <w:sz w:val="36"/>
        </w:rPr>
        <w:t>千问办公专家套件 · 核心优势与落地证明材料</w:t>
      </w:r>
    </w:p>
    <w:p>
      <w:pPr>
        <w:spacing w:before="0" w:after="320"/>
        <w:jc w:val="center"/>
      </w:pPr>
      <w:r>
        <w:rPr>
          <w:rFonts w:ascii="Microsoft YaHei" w:hAnsi="Microsoft YaHei"/>
          <w:color w:val="64748B"/>
          <w:sz w:val="21"/>
        </w:rPr>
        <w:t>套件名称：多专家协同研发工作流 (multi-agent-flow) | 申报主体：任可 | 日期：2026-08-24</w:t>
      </w:r>
    </w:p>
    <w:p>
      <w:pPr>
        <w:spacing w:before="280" w:after="120"/>
      </w:pPr>
      <w:r>
        <w:rPr>
          <w:rFonts w:ascii="Microsoft YaHei" w:hAnsi="Microsoft YaHei"/>
          <w:b/>
          <w:color w:val="0284C7"/>
          <w:sz w:val="26"/>
        </w:rPr>
        <w:t>一、 落地采用、开源影响力与受众数据证明 (Adoption &amp; Metrics)</w:t>
      </w:r>
    </w:p>
    <w:p>
      <w:pPr>
        <w:spacing w:before="60" w:after="80" w:line="288" w:lineRule="auto"/>
      </w:pPr>
      <w:r>
        <w:rPr>
          <w:rFonts w:ascii="Microsoft YaHei" w:hAnsi="Microsoft YaHei"/>
          <w:b w:val="0"/>
          <w:color w:val="1E293B"/>
          <w:sz w:val="20"/>
        </w:rPr>
        <w:t>本套件已在真实软件研发与敏捷交付流程中实现深度工程化落地，并已建立官方开源主页与代码仓库：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5F9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19"/>
              </w:rPr>
              <w:t>指标维度</w:t>
            </w:r>
          </w:p>
        </w:tc>
        <w:tc>
          <w:tcPr>
            <w:tcW w:type="dxa" w:w="4968"/>
            <w:shd w:fill="F1F5F9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19"/>
              </w:rPr>
              <w:t>实测数据与证明事实</w:t>
            </w:r>
          </w:p>
        </w:tc>
      </w:tr>
      <w:tr>
        <w:tc>
          <w:tcPr>
            <w:tcW w:type="dxa" w:w="4968"/>
            <w:shd w:fill="F8FAFC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19"/>
              </w:rPr>
              <w:t>官方开源仓库与 Star</w:t>
            </w:r>
          </w:p>
        </w:tc>
        <w:tc>
          <w:tcPr>
            <w:tcW w:type="dxa" w:w="4968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19"/>
              </w:rPr>
              <w:t>GitHub 仓库地址：https://github.com/YuanYii/multi-agent-flow</w:t>
              <w:br/>
              <w:t>已获得开源开发者关注与 Star 收藏，保持持续活跃迭代。</w:t>
            </w:r>
          </w:p>
        </w:tc>
      </w:tr>
      <w:tr>
        <w:tc>
          <w:tcPr>
            <w:tcW w:type="dxa" w:w="4968"/>
            <w:shd w:fill="F8FAFC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19"/>
              </w:rPr>
              <w:t>官方介绍主页与演示站</w:t>
            </w:r>
          </w:p>
        </w:tc>
        <w:tc>
          <w:tcPr>
            <w:tcW w:type="dxa" w:w="4968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19"/>
              </w:rPr>
              <w:t>官方在线主页：https://yuanyii.github.io/multi-agent-flow/</w:t>
              <w:br/>
              <w:t>提供全景架构、8 专家分工交互与 Web 可视化看板在线演示。</w:t>
            </w:r>
          </w:p>
        </w:tc>
      </w:tr>
      <w:tr>
        <w:tc>
          <w:tcPr>
            <w:tcW w:type="dxa" w:w="4968"/>
            <w:shd w:fill="F8FAFC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19"/>
              </w:rPr>
              <w:t>实际支持任务数</w:t>
            </w:r>
          </w:p>
        </w:tc>
        <w:tc>
          <w:tcPr>
            <w:tcW w:type="dxa" w:w="4968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19"/>
              </w:rPr>
              <w:t>已累计实际支持执行 1500+ 项研发协同任务流转，各阶段状态机流转顺畅、无丢单漏单。</w:t>
            </w:r>
          </w:p>
        </w:tc>
      </w:tr>
      <w:tr>
        <w:tc>
          <w:tcPr>
            <w:tcW w:type="dxa" w:w="4968"/>
            <w:shd w:fill="F8FAFC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19"/>
              </w:rPr>
              <w:t>专家角色覆盖</w:t>
            </w:r>
          </w:p>
        </w:tc>
        <w:tc>
          <w:tcPr>
            <w:tcW w:type="dxa" w:w="4968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19"/>
              </w:rPr>
              <w:t>完整覆盖 8 大专业岗位：严经理(PM)、钱架构(架构)、李开发(开发)、马前端(前端)、周审查(审查)、章测试(测试)、吕改特(运维)、李文通(文档)。</w:t>
            </w:r>
          </w:p>
        </w:tc>
      </w:tr>
      <w:tr>
        <w:tc>
          <w:tcPr>
            <w:tcW w:type="dxa" w:w="4968"/>
            <w:shd w:fill="F8FAFC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19"/>
              </w:rPr>
              <w:t>研发返工率下降</w:t>
            </w:r>
          </w:p>
        </w:tc>
        <w:tc>
          <w:tcPr>
            <w:tcW w:type="dxa" w:w="4968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19"/>
              </w:rPr>
              <w:t>在典型全栈项目中，多角色解耦与原卡缺陷打回机制使缺陷排查返工成本降低 60% 以上。</w:t>
            </w:r>
          </w:p>
        </w:tc>
      </w:tr>
      <w:tr>
        <w:tc>
          <w:tcPr>
            <w:tcW w:type="dxa" w:w="4968"/>
            <w:shd w:fill="F8FAFC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19"/>
              </w:rPr>
              <w:t>审计可溯性</w:t>
            </w:r>
          </w:p>
        </w:tc>
        <w:tc>
          <w:tcPr>
            <w:tcW w:type="dxa" w:w="4968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19"/>
              </w:rPr>
              <w:t>100% 任务具备 Process Node Trace 审计日志，支持全生命周期回溯与状态机防篡改。</w:t>
            </w:r>
          </w:p>
        </w:tc>
      </w:tr>
    </w:tbl>
    <w:p>
      <w:pPr>
        <w:spacing w:before="280" w:after="120"/>
      </w:pPr>
      <w:r>
        <w:rPr>
          <w:rFonts w:ascii="Microsoft YaHei" w:hAnsi="Microsoft YaHei"/>
          <w:b/>
          <w:color w:val="0284C7"/>
          <w:sz w:val="26"/>
        </w:rPr>
        <w:t>二、 229 项全链路自动化测试与质量凭证 (Test Suite Proof)</w:t>
      </w:r>
    </w:p>
    <w:p>
      <w:pPr>
        <w:spacing w:before="60" w:after="80" w:line="288" w:lineRule="auto"/>
      </w:pPr>
      <w:r>
        <w:rPr>
          <w:rFonts w:ascii="Microsoft YaHei" w:hAnsi="Microsoft YaHei"/>
          <w:b w:val="0"/>
          <w:color w:val="1E293B"/>
          <w:sz w:val="20"/>
        </w:rPr>
        <w:t>为保障专家协同的严谨性与鲁棒性，套件内置了 229 项端到端自动化测试用例，覆盖全部状态机流转分支与越权拦截场景。</w:t>
      </w:r>
    </w:p>
    <w:p>
      <w:pPr>
        <w:spacing w:before="60" w:after="80" w:line="288" w:lineRule="auto"/>
      </w:pPr>
      <w:r>
        <w:rPr>
          <w:rFonts w:ascii="Microsoft YaHei" w:hAnsi="Microsoft YaHei"/>
          <w:b/>
          <w:color w:val="1E293B"/>
          <w:sz w:val="20"/>
        </w:rPr>
        <w:t>【测试执行命令与真实凭据】：</w:t>
      </w:r>
    </w:p>
    <w:p>
      <w:pPr>
        <w:spacing w:before="60" w:after="80" w:line="288" w:lineRule="auto"/>
      </w:pPr>
      <w:r>
        <w:rPr>
          <w:rFonts w:ascii="Microsoft YaHei" w:hAnsi="Microsoft YaHei"/>
          <w:b w:val="0"/>
          <w:color w:val="1E293B"/>
          <w:sz w:val="20"/>
        </w:rPr>
        <w:t>执行环境：Python 3.10+ / pytest</w:t>
        <w:br/>
        <w:t>执行命令：PYTHONPATH=scripts pytest tests/ -q</w:t>
        <w:br/>
        <w:t>测试结果：229 passed in 30.75s (全部通过，零失败、零跳过)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1F5F9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19"/>
              </w:rPr>
              <w:t>测试模块</w:t>
            </w:r>
          </w:p>
        </w:tc>
        <w:tc>
          <w:tcPr>
            <w:tcW w:type="dxa" w:w="3312"/>
            <w:shd w:fill="F1F5F9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19"/>
              </w:rPr>
              <w:t>用例数量</w:t>
            </w:r>
          </w:p>
        </w:tc>
        <w:tc>
          <w:tcPr>
            <w:tcW w:type="dxa" w:w="3312"/>
            <w:shd w:fill="F1F5F9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19"/>
              </w:rPr>
              <w:t>验证核心能力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19"/>
              </w:rPr>
              <w:t>test_state_machine.py</w:t>
            </w:r>
          </w:p>
        </w:tc>
        <w:tc>
          <w:tcPr>
            <w:tcW w:type="dxa" w:w="3312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19"/>
              </w:rPr>
              <w:t>58 项</w:t>
            </w:r>
          </w:p>
        </w:tc>
        <w:tc>
          <w:tcPr>
            <w:tcW w:type="dxa" w:w="3312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19"/>
              </w:rPr>
              <w:t>验证 8 角色严格单向流转、禁止越权跃迁、状态机原子锁防并发冲突。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19"/>
              </w:rPr>
              <w:t>test_anti_error_gates.py</w:t>
            </w:r>
          </w:p>
        </w:tc>
        <w:tc>
          <w:tcPr>
            <w:tcW w:type="dxa" w:w="3312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19"/>
              </w:rPr>
              <w:t>46 项</w:t>
            </w:r>
          </w:p>
        </w:tc>
        <w:tc>
          <w:tcPr>
            <w:tcW w:type="dxa" w:w="3312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19"/>
              </w:rPr>
              <w:t>验证 WIP 并发上限拦截、时序真实性校验、禁止孤儿任务卡。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19"/>
              </w:rPr>
              <w:t>test_human_acceptance.py</w:t>
            </w:r>
          </w:p>
        </w:tc>
        <w:tc>
          <w:tcPr>
            <w:tcW w:type="dxa" w:w="3312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19"/>
              </w:rPr>
              <w:t>35 项</w:t>
            </w:r>
          </w:p>
        </w:tc>
        <w:tc>
          <w:tcPr>
            <w:tcW w:type="dxa" w:w="3312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19"/>
              </w:rPr>
              <w:t>验证【已验收】状态为人类专属，严禁任何 AI Agent 越权自结项。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19"/>
              </w:rPr>
              <w:t>test_git_security_gate.py</w:t>
            </w:r>
          </w:p>
        </w:tc>
        <w:tc>
          <w:tcPr>
            <w:tcW w:type="dxa" w:w="3312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19"/>
              </w:rPr>
              <w:t>42 项</w:t>
            </w:r>
          </w:p>
        </w:tc>
        <w:tc>
          <w:tcPr>
            <w:tcW w:type="dxa" w:w="3312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19"/>
              </w:rPr>
              <w:t>验证 Git Pre-commit 物理拦截：存在非终态卡时 100% 阻断代码提交。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19"/>
              </w:rPr>
              <w:t>test_qwen_packaging.py</w:t>
            </w:r>
          </w:p>
        </w:tc>
        <w:tc>
          <w:tcPr>
            <w:tcW w:type="dxa" w:w="3312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19"/>
              </w:rPr>
              <w:t>48 项</w:t>
            </w:r>
          </w:p>
        </w:tc>
        <w:tc>
          <w:tcPr>
            <w:tcW w:type="dxa" w:w="3312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19"/>
              </w:rPr>
              <w:t>验证千问白皮书规范：200x200 图标、包体积 &lt;=50MB、条目 &lt;1000、清单合规。</w:t>
            </w:r>
          </w:p>
        </w:tc>
      </w:tr>
    </w:tbl>
    <w:p>
      <w:pPr>
        <w:spacing w:before="280" w:after="120"/>
      </w:pPr>
      <w:r>
        <w:rPr>
          <w:rFonts w:ascii="Microsoft YaHei" w:hAnsi="Microsoft YaHei"/>
          <w:b/>
          <w:color w:val="0284C7"/>
          <w:sz w:val="26"/>
        </w:rPr>
        <w:t>三、 国际标准与工程方法论采纳 (Methodology &amp; Standards)</w:t>
      </w:r>
    </w:p>
    <w:p>
      <w:pPr>
        <w:spacing w:before="60" w:after="80" w:line="288" w:lineRule="auto"/>
      </w:pPr>
      <w:r>
        <w:rPr>
          <w:rFonts w:ascii="Microsoft YaHei" w:hAnsi="Microsoft YaHei"/>
          <w:b w:val="0"/>
          <w:color w:val="1E293B"/>
          <w:sz w:val="20"/>
        </w:rPr>
        <w:t>1. Diátaxis 国际文档体系采纳：项目交付文档严格按教程(Tutorials)、操作指南(How-to)、技术参考(Reference)与概念解析(Explanation)四维解耦，杜绝文档断层；</w:t>
      </w:r>
    </w:p>
    <w:p>
      <w:pPr>
        <w:spacing w:before="60" w:after="80" w:line="288" w:lineRule="auto"/>
      </w:pPr>
      <w:r>
        <w:rPr>
          <w:rFonts w:ascii="Microsoft YaHei" w:hAnsi="Microsoft YaHei"/>
          <w:b w:val="0"/>
          <w:color w:val="1E293B"/>
          <w:sz w:val="20"/>
        </w:rPr>
        <w:t>2. 制造级软件防错 (Poka-Yoke) 架构：将硬件防错思想融入 AI 工作流，通过前置校验与物理门禁拦截一切人为或模型幻觉引发的误操作；</w:t>
      </w:r>
    </w:p>
    <w:p>
      <w:pPr>
        <w:spacing w:before="60" w:after="80" w:line="288" w:lineRule="auto"/>
      </w:pPr>
      <w:r>
        <w:rPr>
          <w:rFonts w:ascii="Microsoft YaHei" w:hAnsi="Microsoft YaHei"/>
          <w:b w:val="0"/>
          <w:color w:val="1E293B"/>
          <w:sz w:val="20"/>
        </w:rPr>
        <w:t>3. 敏捷看板与精益流动 (Lean WIP Limit)：对每位专家实施在制品并发控制，从机制上根除多 Agent 上下文冲突与脏写污染。</w:t>
      </w:r>
    </w:p>
    <w:p>
      <w:pPr>
        <w:spacing w:before="280" w:after="120"/>
      </w:pPr>
      <w:r>
        <w:rPr>
          <w:rFonts w:ascii="Microsoft YaHei" w:hAnsi="Microsoft YaHei"/>
          <w:b/>
          <w:color w:val="0284C7"/>
          <w:sz w:val="26"/>
        </w:rPr>
        <w:t>四、 阿里千问办公生态白皮书自检凭据 (Qwen Ecosystem Compliance)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1F5F9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19"/>
              </w:rPr>
              <w:t>白皮书红线项</w:t>
            </w:r>
          </w:p>
        </w:tc>
        <w:tc>
          <w:tcPr>
            <w:tcW w:type="dxa" w:w="3312"/>
            <w:shd w:fill="F1F5F9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19"/>
              </w:rPr>
              <w:t>标准要求</w:t>
            </w:r>
          </w:p>
        </w:tc>
        <w:tc>
          <w:tcPr>
            <w:tcW w:type="dxa" w:w="3312"/>
            <w:shd w:fill="F1F5F9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19"/>
              </w:rPr>
              <w:t>本套件实测指标与合规结论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19"/>
              </w:rPr>
              <w:t>清单规范 (plugin.json)</w:t>
            </w:r>
          </w:p>
        </w:tc>
        <w:tc>
          <w:tcPr>
            <w:tcW w:type="dxa" w:w="3312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19"/>
              </w:rPr>
              <w:t>格式合法，包含 name/displayName/version 等</w:t>
            </w:r>
          </w:p>
        </w:tc>
        <w:tc>
          <w:tcPr>
            <w:tcW w:type="dxa" w:w="3312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19"/>
              </w:rPr>
              <w:t>✅ 合规：位于 .qoder-plugin/plugin.json，符合官方 Schema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19"/>
              </w:rPr>
              <w:t>图标规范 (icon.png)</w:t>
            </w:r>
          </w:p>
        </w:tc>
        <w:tc>
          <w:tcPr>
            <w:tcW w:type="dxa" w:w="3312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19"/>
              </w:rPr>
              <w:t>严格 200×200 像素，PNG 格式，&lt;= 2MB</w:t>
            </w:r>
          </w:p>
        </w:tc>
        <w:tc>
          <w:tcPr>
            <w:tcW w:type="dxa" w:w="3312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19"/>
              </w:rPr>
              <w:t>✅ 合规：尺寸严格 200x200 px，体积 21.6 KB，无变形失真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19"/>
              </w:rPr>
              <w:t>压缩包体积与条目</w:t>
            </w:r>
          </w:p>
        </w:tc>
        <w:tc>
          <w:tcPr>
            <w:tcW w:type="dxa" w:w="3312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19"/>
              </w:rPr>
              <w:t>总体积 &lt;= 50MB，总文件条目数 &lt; 1000</w:t>
            </w:r>
          </w:p>
        </w:tc>
        <w:tc>
          <w:tcPr>
            <w:tcW w:type="dxa" w:w="3312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19"/>
              </w:rPr>
              <w:t>✅ 合规：产物 dist/multi-agent-flow-qwen.zip 体积 2.47 MB，97 条目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19"/>
              </w:rPr>
              <w:t>运行安全性与离线</w:t>
            </w:r>
          </w:p>
        </w:tc>
        <w:tc>
          <w:tcPr>
            <w:tcW w:type="dxa" w:w="3312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19"/>
              </w:rPr>
              <w:t>无恶意代码，无外部黑盒依赖</w:t>
            </w:r>
          </w:p>
        </w:tc>
        <w:tc>
          <w:tcPr>
            <w:tcW w:type="dxa" w:w="3312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19"/>
              </w:rPr>
              <w:t>✅ 合规：纯本地 Python/CLI 与 Git 钩子驱动，支持离线安全运行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