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FBFAE9">
      <w:pPr>
        <w:rPr>
          <w:rFonts w:hint="eastAsia"/>
          <w:color w:val="auto"/>
        </w:rPr>
      </w:pPr>
    </w:p>
    <w:p w14:paraId="66D591B0">
      <w:pPr>
        <w:rPr>
          <w:rFonts w:hint="eastAsia"/>
          <w:color w:val="auto"/>
        </w:rPr>
      </w:pPr>
    </w:p>
    <w:p w14:paraId="2A42ECFF">
      <w:pPr>
        <w:rPr>
          <w:rFonts w:hint="eastAsia"/>
          <w:color w:val="auto"/>
        </w:rPr>
      </w:pPr>
    </w:p>
    <w:p w14:paraId="33B8616C">
      <w:pPr>
        <w:jc w:val="center"/>
        <w:rPr>
          <w:rFonts w:hint="eastAsia"/>
          <w:color w:val="auto"/>
          <w:sz w:val="72"/>
          <w:szCs w:val="72"/>
        </w:rPr>
      </w:pPr>
      <w:r>
        <w:rPr>
          <w:rFonts w:hint="eastAsia"/>
          <w:color w:val="auto"/>
          <w:sz w:val="72"/>
          <w:szCs w:val="72"/>
        </w:rPr>
        <w:t>浦东新区</w:t>
      </w:r>
      <w:r>
        <w:rPr>
          <w:rFonts w:hint="eastAsia"/>
          <w:color w:val="auto"/>
          <w:sz w:val="72"/>
          <w:szCs w:val="72"/>
          <w:lang w:val="en-US" w:eastAsia="zh-CN"/>
        </w:rPr>
        <w:t>数据支撑子系统信创</w:t>
      </w:r>
      <w:r>
        <w:rPr>
          <w:rFonts w:hint="eastAsia"/>
          <w:color w:val="auto"/>
          <w:sz w:val="72"/>
          <w:szCs w:val="72"/>
        </w:rPr>
        <w:t>升级</w:t>
      </w:r>
    </w:p>
    <w:p w14:paraId="3B09FF0C">
      <w:pPr>
        <w:jc w:val="center"/>
        <w:rPr>
          <w:rFonts w:hint="eastAsia"/>
          <w:color w:val="auto"/>
          <w:sz w:val="72"/>
          <w:szCs w:val="72"/>
        </w:rPr>
      </w:pPr>
      <w:r>
        <w:rPr>
          <w:rFonts w:hint="eastAsia"/>
          <w:color w:val="auto"/>
          <w:sz w:val="72"/>
          <w:szCs w:val="72"/>
        </w:rPr>
        <w:t>可行性研究报告</w:t>
      </w:r>
    </w:p>
    <w:p w14:paraId="098A3652">
      <w:pPr>
        <w:rPr>
          <w:rFonts w:hint="eastAsia"/>
          <w:color w:val="auto"/>
        </w:rPr>
      </w:pPr>
    </w:p>
    <w:p w14:paraId="16529BCB">
      <w:pPr>
        <w:rPr>
          <w:rFonts w:hint="eastAsia"/>
          <w:color w:val="auto"/>
        </w:rPr>
      </w:pPr>
    </w:p>
    <w:p w14:paraId="7A2F7077">
      <w:pPr>
        <w:rPr>
          <w:rFonts w:hint="eastAsia"/>
          <w:color w:val="auto"/>
        </w:rPr>
      </w:pPr>
    </w:p>
    <w:p w14:paraId="08FA8E81">
      <w:pPr>
        <w:rPr>
          <w:rFonts w:hint="eastAsia"/>
          <w:color w:val="auto"/>
        </w:rPr>
      </w:pPr>
    </w:p>
    <w:p w14:paraId="0F39955A">
      <w:pPr>
        <w:rPr>
          <w:rFonts w:hint="eastAsia"/>
          <w:color w:val="auto"/>
        </w:rPr>
      </w:pPr>
    </w:p>
    <w:p w14:paraId="2F2350CC">
      <w:pPr>
        <w:rPr>
          <w:rFonts w:hint="eastAsia"/>
          <w:color w:val="auto"/>
        </w:rPr>
      </w:pPr>
    </w:p>
    <w:p w14:paraId="78DF774D">
      <w:pPr>
        <w:rPr>
          <w:rFonts w:hint="eastAsia"/>
          <w:color w:val="auto"/>
        </w:rPr>
      </w:pPr>
    </w:p>
    <w:p w14:paraId="2FF0B2F8">
      <w:pPr>
        <w:rPr>
          <w:rFonts w:hint="eastAsia"/>
          <w:color w:val="auto"/>
        </w:rPr>
      </w:pPr>
    </w:p>
    <w:p w14:paraId="400EA072">
      <w:pPr>
        <w:rPr>
          <w:rFonts w:hint="eastAsia"/>
          <w:color w:val="auto"/>
        </w:rPr>
      </w:pPr>
    </w:p>
    <w:p w14:paraId="0C2E12C7">
      <w:pPr>
        <w:rPr>
          <w:rFonts w:hint="eastAsia"/>
          <w:color w:val="auto"/>
        </w:rPr>
      </w:pPr>
    </w:p>
    <w:p w14:paraId="5E931C35">
      <w:pPr>
        <w:rPr>
          <w:rFonts w:hint="eastAsia"/>
          <w:color w:val="auto"/>
        </w:rPr>
      </w:pPr>
    </w:p>
    <w:p w14:paraId="4CADF4C5">
      <w:pPr>
        <w:rPr>
          <w:rFonts w:hint="eastAsia"/>
          <w:color w:val="auto"/>
        </w:rPr>
      </w:pPr>
    </w:p>
    <w:p w14:paraId="48940966">
      <w:pPr>
        <w:rPr>
          <w:rFonts w:hint="eastAsia"/>
          <w:color w:val="auto"/>
        </w:rPr>
      </w:pPr>
    </w:p>
    <w:p w14:paraId="7239741B">
      <w:pPr>
        <w:jc w:val="center"/>
        <w:rPr>
          <w:rFonts w:hint="eastAsia" w:ascii="仿宋" w:hAnsi="仿宋"/>
          <w:color w:val="auto"/>
          <w:sz w:val="36"/>
          <w:szCs w:val="36"/>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NumType w:fmt="upperRoman" w:start="1"/>
          <w:cols w:space="425" w:num="1"/>
          <w:titlePg/>
          <w:docGrid w:type="lines" w:linePitch="381" w:charSpace="0"/>
        </w:sectPr>
      </w:pPr>
      <w:r>
        <w:rPr>
          <w:rFonts w:hint="eastAsia" w:ascii="仿宋" w:hAnsi="仿宋"/>
          <w:color w:val="auto"/>
          <w:sz w:val="36"/>
          <w:szCs w:val="36"/>
        </w:rPr>
        <w:t>申报日期：</w:t>
      </w:r>
      <w:r>
        <w:rPr>
          <w:rFonts w:ascii="仿宋" w:hAnsi="仿宋"/>
          <w:color w:val="auto"/>
          <w:sz w:val="36"/>
          <w:szCs w:val="36"/>
        </w:rPr>
        <w:t xml:space="preserve"> 202</w:t>
      </w:r>
      <w:r>
        <w:rPr>
          <w:rFonts w:hint="eastAsia" w:ascii="仿宋" w:hAnsi="仿宋"/>
          <w:color w:val="auto"/>
          <w:sz w:val="36"/>
          <w:szCs w:val="36"/>
        </w:rPr>
        <w:t>6</w:t>
      </w:r>
      <w:r>
        <w:rPr>
          <w:rFonts w:ascii="仿宋" w:hAnsi="仿宋"/>
          <w:color w:val="auto"/>
          <w:sz w:val="36"/>
          <w:szCs w:val="36"/>
        </w:rPr>
        <w:t xml:space="preserve"> 年 </w:t>
      </w:r>
      <w:r>
        <w:rPr>
          <w:rFonts w:hint="eastAsia" w:ascii="仿宋" w:hAnsi="仿宋"/>
          <w:color w:val="auto"/>
          <w:sz w:val="36"/>
          <w:szCs w:val="36"/>
        </w:rPr>
        <w:t>5</w:t>
      </w:r>
      <w:r>
        <w:rPr>
          <w:rFonts w:ascii="仿宋" w:hAnsi="仿宋"/>
          <w:color w:val="auto"/>
          <w:sz w:val="36"/>
          <w:szCs w:val="36"/>
        </w:rPr>
        <w:t xml:space="preserve">月 </w:t>
      </w:r>
      <w:r>
        <w:rPr>
          <w:rFonts w:hint="eastAsia" w:ascii="仿宋" w:hAnsi="仿宋"/>
          <w:color w:val="auto"/>
          <w:sz w:val="36"/>
          <w:szCs w:val="36"/>
        </w:rPr>
        <w:t>19日</w:t>
      </w:r>
    </w:p>
    <w:sdt>
      <w:sdtPr>
        <w:rPr>
          <w:rFonts w:eastAsia="仿宋" w:asciiTheme="minorHAnsi" w:hAnsiTheme="minorHAnsi" w:cstheme="minorBidi"/>
          <w:color w:val="auto"/>
          <w:kern w:val="2"/>
          <w:sz w:val="24"/>
          <w:szCs w:val="24"/>
          <w:lang w:val="zh-CN"/>
          <w14:ligatures w14:val="standardContextual"/>
        </w:rPr>
        <w:id w:val="1098750993"/>
        <w:docPartObj>
          <w:docPartGallery w:val="Table of Contents"/>
          <w:docPartUnique/>
        </w:docPartObj>
      </w:sdtPr>
      <w:sdtEndPr>
        <w:rPr>
          <w:rFonts w:eastAsia="仿宋" w:asciiTheme="minorHAnsi" w:hAnsiTheme="minorHAnsi" w:cstheme="minorBidi"/>
          <w:b/>
          <w:bCs/>
          <w:color w:val="auto"/>
          <w:kern w:val="2"/>
          <w:sz w:val="24"/>
          <w:szCs w:val="24"/>
          <w:lang w:val="zh-CN"/>
          <w14:ligatures w14:val="standardContextual"/>
        </w:rPr>
      </w:sdtEndPr>
      <w:sdtContent>
        <w:p w14:paraId="212818C9">
          <w:pPr>
            <w:pStyle w:val="44"/>
            <w:jc w:val="center"/>
            <w:rPr>
              <w:rFonts w:hint="eastAsia"/>
              <w:color w:val="auto"/>
            </w:rPr>
          </w:pPr>
          <w:r>
            <w:rPr>
              <w:color w:val="auto"/>
              <w:lang w:val="zh-CN"/>
            </w:rPr>
            <w:t>目录</w:t>
          </w:r>
        </w:p>
        <w:p w14:paraId="3CF0CCBF">
          <w:pPr>
            <w:pStyle w:val="14"/>
            <w:tabs>
              <w:tab w:val="right" w:leader="dot" w:pos="8296"/>
            </w:tabs>
            <w:rPr>
              <w:rFonts w:hint="eastAsia" w:eastAsiaTheme="minorEastAsia"/>
              <w:color w:val="auto"/>
              <w:sz w:val="22"/>
            </w:rPr>
          </w:pPr>
          <w:r>
            <w:rPr>
              <w:color w:val="auto"/>
            </w:rPr>
            <w:fldChar w:fldCharType="begin"/>
          </w:r>
          <w:r>
            <w:rPr>
              <w:color w:val="auto"/>
            </w:rPr>
            <w:instrText xml:space="preserve"> TOC \o "1-3" \h \z \u </w:instrText>
          </w:r>
          <w:r>
            <w:rPr>
              <w:color w:val="auto"/>
            </w:rPr>
            <w:fldChar w:fldCharType="separate"/>
          </w:r>
          <w:r>
            <w:rPr>
              <w:color w:val="auto"/>
            </w:rPr>
            <w:fldChar w:fldCharType="begin"/>
          </w:r>
          <w:r>
            <w:rPr>
              <w:color w:val="auto"/>
            </w:rPr>
            <w:instrText xml:space="preserve"> HYPERLINK \l "_Toc230106818" </w:instrText>
          </w:r>
          <w:r>
            <w:rPr>
              <w:color w:val="auto"/>
            </w:rPr>
            <w:fldChar w:fldCharType="separate"/>
          </w:r>
          <w:r>
            <w:rPr>
              <w:rStyle w:val="21"/>
              <w:rFonts w:hint="eastAsia"/>
              <w:color w:val="auto"/>
              <w14:scene3d>
                <w14:lightRig w14:rig="threePt" w14:dir="t">
                  <w14:rot w14:lat="0" w14:lon="0" w14:rev="0"/>
                </w14:lightRig>
              </w14:scene3d>
              <w14:ligatures w14:val="none"/>
            </w:rPr>
            <w:t>第一章</w:t>
          </w:r>
          <w:r>
            <w:rPr>
              <w:rStyle w:val="21"/>
              <w:rFonts w:hint="eastAsia"/>
              <w:color w:val="auto"/>
            </w:rPr>
            <w:t xml:space="preserve"> 建设必要性</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_Toc230106818 \h</w:instrText>
          </w:r>
          <w:r>
            <w:rPr>
              <w:rFonts w:hint="eastAsia"/>
              <w:color w:val="auto"/>
            </w:rPr>
            <w:instrText xml:space="preserve"> </w:instrText>
          </w:r>
          <w:r>
            <w:rPr>
              <w:rFonts w:hint="eastAsia"/>
              <w:color w:val="auto"/>
            </w:rPr>
            <w:fldChar w:fldCharType="separate"/>
          </w:r>
          <w:r>
            <w:rPr>
              <w:rFonts w:hint="eastAsia"/>
              <w:color w:val="auto"/>
            </w:rPr>
            <w:t>5</w:t>
          </w:r>
          <w:r>
            <w:rPr>
              <w:rFonts w:hint="eastAsia"/>
              <w:color w:val="auto"/>
            </w:rPr>
            <w:fldChar w:fldCharType="end"/>
          </w:r>
          <w:r>
            <w:rPr>
              <w:rFonts w:hint="eastAsia"/>
              <w:color w:val="auto"/>
            </w:rPr>
            <w:fldChar w:fldCharType="end"/>
          </w:r>
        </w:p>
        <w:p w14:paraId="7CEB8231">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"_Toc230106819" </w:instrText>
          </w:r>
          <w:r>
            <w:rPr>
              <w:color w:val="auto"/>
            </w:rPr>
            <w:fldChar w:fldCharType="separate"/>
          </w:r>
          <w:r>
            <w:rPr>
              <w:rStyle w:val="21"/>
              <w:rFonts w:hint="eastAsia"/>
              <w:color w:val="auto"/>
            </w:rPr>
            <w:t>1.1 建设背景和依据</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_Toc230106819 \h</w:instrText>
          </w:r>
          <w:r>
            <w:rPr>
              <w:rFonts w:hint="eastAsia"/>
              <w:color w:val="auto"/>
            </w:rPr>
            <w:instrText xml:space="preserve"> </w:instrText>
          </w:r>
          <w:r>
            <w:rPr>
              <w:rFonts w:hint="eastAsia"/>
              <w:color w:val="auto"/>
            </w:rPr>
            <w:fldChar w:fldCharType="separate"/>
          </w:r>
          <w:r>
            <w:rPr>
              <w:rFonts w:hint="eastAsia"/>
              <w:color w:val="auto"/>
            </w:rPr>
            <w:t>5</w:t>
          </w:r>
          <w:r>
            <w:rPr>
              <w:rFonts w:hint="eastAsia"/>
              <w:color w:val="auto"/>
            </w:rPr>
            <w:fldChar w:fldCharType="end"/>
          </w:r>
          <w:r>
            <w:rPr>
              <w:rFonts w:hint="eastAsia"/>
              <w:color w:val="auto"/>
            </w:rPr>
            <w:fldChar w:fldCharType="end"/>
          </w:r>
        </w:p>
        <w:p w14:paraId="71EE9B97">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"_Toc230106820" </w:instrText>
          </w:r>
          <w:r>
            <w:rPr>
              <w:color w:val="auto"/>
            </w:rPr>
            <w:fldChar w:fldCharType="separate"/>
          </w:r>
          <w:r>
            <w:rPr>
              <w:rStyle w:val="21"/>
              <w:rFonts w:hint="eastAsia"/>
              <w:color w:val="auto"/>
            </w:rPr>
            <w:t>1.1.1 政策背景</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_Toc230106820 \h</w:instrText>
          </w:r>
          <w:r>
            <w:rPr>
              <w:rFonts w:hint="eastAsia"/>
              <w:color w:val="auto"/>
            </w:rPr>
            <w:instrText xml:space="preserve"> </w:instrText>
          </w:r>
          <w:r>
            <w:rPr>
              <w:rFonts w:hint="eastAsia"/>
              <w:color w:val="auto"/>
            </w:rPr>
            <w:fldChar w:fldCharType="separate"/>
          </w:r>
          <w:r>
            <w:rPr>
              <w:rFonts w:hint="eastAsia"/>
              <w:color w:val="auto"/>
            </w:rPr>
            <w:t>5</w:t>
          </w:r>
          <w:r>
            <w:rPr>
              <w:rFonts w:hint="eastAsia"/>
              <w:color w:val="auto"/>
            </w:rPr>
            <w:fldChar w:fldCharType="end"/>
          </w:r>
          <w:r>
            <w:rPr>
              <w:rFonts w:hint="eastAsia"/>
              <w:color w:val="auto"/>
            </w:rPr>
            <w:fldChar w:fldCharType="end"/>
          </w:r>
        </w:p>
        <w:p w14:paraId="69D3F18E">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"_Toc230106821" </w:instrText>
          </w:r>
          <w:r>
            <w:rPr>
              <w:color w:val="auto"/>
            </w:rPr>
            <w:fldChar w:fldCharType="separate"/>
          </w:r>
          <w:r>
            <w:rPr>
              <w:rStyle w:val="21"/>
              <w:rFonts w:hint="eastAsia"/>
              <w:color w:val="auto"/>
            </w:rPr>
            <w:t>1.1.2 基础依据</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_Toc230106821 \h</w:instrText>
          </w:r>
          <w:r>
            <w:rPr>
              <w:rFonts w:hint="eastAsia"/>
              <w:color w:val="auto"/>
            </w:rPr>
            <w:instrText xml:space="preserve"> </w:instrText>
          </w:r>
          <w:r>
            <w:rPr>
              <w:rFonts w:hint="eastAsia"/>
              <w:color w:val="auto"/>
            </w:rPr>
            <w:fldChar w:fldCharType="separate"/>
          </w:r>
          <w:r>
            <w:rPr>
              <w:rFonts w:hint="eastAsia"/>
              <w:color w:val="auto"/>
            </w:rPr>
            <w:t>5</w:t>
          </w:r>
          <w:r>
            <w:rPr>
              <w:rFonts w:hint="eastAsia"/>
              <w:color w:val="auto"/>
            </w:rPr>
            <w:fldChar w:fldCharType="end"/>
          </w:r>
          <w:r>
            <w:rPr>
              <w:rFonts w:hint="eastAsia"/>
              <w:color w:val="auto"/>
            </w:rPr>
            <w:fldChar w:fldCharType="end"/>
          </w:r>
        </w:p>
        <w:p w14:paraId="02E6BE9D">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"_Toc230106822" </w:instrText>
          </w:r>
          <w:r>
            <w:rPr>
              <w:color w:val="auto"/>
            </w:rPr>
            <w:fldChar w:fldCharType="separate"/>
          </w:r>
          <w:r>
            <w:rPr>
              <w:rStyle w:val="21"/>
              <w:rFonts w:hint="eastAsia"/>
              <w:color w:val="auto"/>
            </w:rPr>
            <w:t>1.1.3 平台背景</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_Toc230106822 \h</w:instrText>
          </w:r>
          <w:r>
            <w:rPr>
              <w:rFonts w:hint="eastAsia"/>
              <w:color w:val="auto"/>
            </w:rPr>
            <w:instrText xml:space="preserve"> </w:instrText>
          </w:r>
          <w:r>
            <w:rPr>
              <w:rFonts w:hint="eastAsia"/>
              <w:color w:val="auto"/>
            </w:rPr>
            <w:fldChar w:fldCharType="separate"/>
          </w:r>
          <w:r>
            <w:rPr>
              <w:rFonts w:hint="eastAsia"/>
              <w:color w:val="auto"/>
            </w:rPr>
            <w:t>6</w:t>
          </w:r>
          <w:r>
            <w:rPr>
              <w:rFonts w:hint="eastAsia"/>
              <w:color w:val="auto"/>
            </w:rPr>
            <w:fldChar w:fldCharType="end"/>
          </w:r>
          <w:r>
            <w:rPr>
              <w:rFonts w:hint="eastAsia"/>
              <w:color w:val="auto"/>
            </w:rPr>
            <w:fldChar w:fldCharType="end"/>
          </w:r>
        </w:p>
        <w:p w14:paraId="692B4155">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"_Toc230106823" </w:instrText>
          </w:r>
          <w:r>
            <w:rPr>
              <w:color w:val="auto"/>
            </w:rPr>
            <w:fldChar w:fldCharType="separate"/>
          </w:r>
          <w:r>
            <w:rPr>
              <w:rStyle w:val="21"/>
              <w:rFonts w:hint="eastAsia"/>
              <w:color w:val="auto"/>
            </w:rPr>
            <w:t>1.2 项目必要性分析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_Toc230106823 \h</w:instrText>
          </w:r>
          <w:r>
            <w:rPr>
              <w:rFonts w:hint="eastAsia"/>
              <w:color w:val="auto"/>
            </w:rPr>
            <w:instrText xml:space="preserve"> </w:instrText>
          </w:r>
          <w:r>
            <w:rPr>
              <w:rFonts w:hint="eastAsia"/>
              <w:color w:val="auto"/>
            </w:rPr>
            <w:fldChar w:fldCharType="separate"/>
          </w:r>
          <w:r>
            <w:rPr>
              <w:rFonts w:hint="eastAsia"/>
              <w:color w:val="auto"/>
            </w:rPr>
            <w:t>7</w:t>
          </w:r>
          <w:r>
            <w:rPr>
              <w:rFonts w:hint="eastAsia"/>
              <w:color w:val="auto"/>
            </w:rPr>
            <w:fldChar w:fldCharType="end"/>
          </w:r>
          <w:r>
            <w:rPr>
              <w:rFonts w:hint="eastAsia"/>
              <w:color w:val="auto"/>
            </w:rPr>
            <w:fldChar w:fldCharType="end"/>
          </w:r>
        </w:p>
        <w:p w14:paraId="3B7651D8">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"_Toc230106824" </w:instrText>
          </w:r>
          <w:r>
            <w:rPr>
              <w:color w:val="auto"/>
            </w:rPr>
            <w:fldChar w:fldCharType="separate"/>
          </w:r>
          <w:r>
            <w:rPr>
              <w:rStyle w:val="21"/>
              <w:rFonts w:hint="eastAsia"/>
              <w:color w:val="auto"/>
            </w:rPr>
            <w:t>1.2.1 本项目现状分析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_Toc230106824 \h</w:instrText>
          </w:r>
          <w:r>
            <w:rPr>
              <w:rFonts w:hint="eastAsia"/>
              <w:color w:val="auto"/>
            </w:rPr>
            <w:instrText xml:space="preserve"> </w:instrText>
          </w:r>
          <w:r>
            <w:rPr>
              <w:rFonts w:hint="eastAsia"/>
              <w:color w:val="auto"/>
            </w:rPr>
            <w:fldChar w:fldCharType="separate"/>
          </w:r>
          <w:r>
            <w:rPr>
              <w:rFonts w:hint="eastAsia"/>
              <w:color w:val="auto"/>
            </w:rPr>
            <w:t>7</w:t>
          </w:r>
          <w:r>
            <w:rPr>
              <w:rFonts w:hint="eastAsia"/>
              <w:color w:val="auto"/>
            </w:rPr>
            <w:fldChar w:fldCharType="end"/>
          </w:r>
          <w:r>
            <w:rPr>
              <w:rFonts w:hint="eastAsia"/>
              <w:color w:val="auto"/>
            </w:rPr>
            <w:fldChar w:fldCharType="end"/>
          </w:r>
        </w:p>
        <w:p w14:paraId="452E8E88">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"_Toc230106825" </w:instrText>
          </w:r>
          <w:r>
            <w:rPr>
              <w:color w:val="auto"/>
            </w:rPr>
            <w:fldChar w:fldCharType="separate"/>
          </w:r>
          <w:r>
            <w:rPr>
              <w:rStyle w:val="21"/>
              <w:rFonts w:hint="eastAsia"/>
              <w:color w:val="auto"/>
            </w:rPr>
            <w:t>1.2.2 现有网络与设备情况以及其他信息资源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_Toc230106825 \h</w:instrText>
          </w:r>
          <w:r>
            <w:rPr>
              <w:rFonts w:hint="eastAsia"/>
              <w:color w:val="auto"/>
            </w:rPr>
            <w:instrText xml:space="preserve"> </w:instrText>
          </w:r>
          <w:r>
            <w:rPr>
              <w:rFonts w:hint="eastAsia"/>
              <w:color w:val="auto"/>
            </w:rPr>
            <w:fldChar w:fldCharType="separate"/>
          </w:r>
          <w:r>
            <w:rPr>
              <w:rFonts w:hint="eastAsia"/>
              <w:color w:val="auto"/>
            </w:rPr>
            <w:t>8</w:t>
          </w:r>
          <w:r>
            <w:rPr>
              <w:rFonts w:hint="eastAsia"/>
              <w:color w:val="auto"/>
            </w:rPr>
            <w:fldChar w:fldCharType="end"/>
          </w:r>
          <w:r>
            <w:rPr>
              <w:rFonts w:hint="eastAsia"/>
              <w:color w:val="auto"/>
            </w:rPr>
            <w:fldChar w:fldCharType="end"/>
          </w:r>
        </w:p>
        <w:p w14:paraId="261EC0B0">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"_Toc230106826" </w:instrText>
          </w:r>
          <w:r>
            <w:rPr>
              <w:color w:val="auto"/>
            </w:rPr>
            <w:fldChar w:fldCharType="separate"/>
          </w:r>
          <w:r>
            <w:rPr>
              <w:rStyle w:val="21"/>
              <w:rFonts w:hint="eastAsia"/>
              <w:color w:val="auto"/>
            </w:rPr>
            <w:t>1.2.3 现有应用系统的情况</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_Toc230106826 \h</w:instrText>
          </w:r>
          <w:r>
            <w:rPr>
              <w:rFonts w:hint="eastAsia"/>
              <w:color w:val="auto"/>
            </w:rPr>
            <w:instrText xml:space="preserve"> </w:instrText>
          </w:r>
          <w:r>
            <w:rPr>
              <w:rFonts w:hint="eastAsia"/>
              <w:color w:val="auto"/>
            </w:rPr>
            <w:fldChar w:fldCharType="separate"/>
          </w:r>
          <w:r>
            <w:rPr>
              <w:rFonts w:hint="eastAsia"/>
              <w:color w:val="auto"/>
            </w:rPr>
            <w:t>8</w:t>
          </w:r>
          <w:r>
            <w:rPr>
              <w:rFonts w:hint="eastAsia"/>
              <w:color w:val="auto"/>
            </w:rPr>
            <w:fldChar w:fldCharType="end"/>
          </w:r>
          <w:r>
            <w:rPr>
              <w:rFonts w:hint="eastAsia"/>
              <w:color w:val="auto"/>
            </w:rPr>
            <w:fldChar w:fldCharType="end"/>
          </w:r>
        </w:p>
        <w:p w14:paraId="04D2EC25">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"_Toc230106827" </w:instrText>
          </w:r>
          <w:r>
            <w:rPr>
              <w:color w:val="auto"/>
            </w:rPr>
            <w:fldChar w:fldCharType="separate"/>
          </w:r>
          <w:r>
            <w:rPr>
              <w:rStyle w:val="21"/>
              <w:rFonts w:hint="eastAsia"/>
              <w:color w:val="auto"/>
            </w:rPr>
            <w:t>1.2.4 拟建项目与已有系统的关系</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_Toc230106827 \h</w:instrText>
          </w:r>
          <w:r>
            <w:rPr>
              <w:rFonts w:hint="eastAsia"/>
              <w:color w:val="auto"/>
            </w:rPr>
            <w:instrText xml:space="preserve"> </w:instrText>
          </w:r>
          <w:r>
            <w:rPr>
              <w:rFonts w:hint="eastAsia"/>
              <w:color w:val="auto"/>
            </w:rPr>
            <w:fldChar w:fldCharType="separate"/>
          </w:r>
          <w:r>
            <w:rPr>
              <w:rFonts w:hint="eastAsia"/>
              <w:color w:val="auto"/>
            </w:rPr>
            <w:t>9</w:t>
          </w:r>
          <w:r>
            <w:rPr>
              <w:rFonts w:hint="eastAsia"/>
              <w:color w:val="auto"/>
            </w:rPr>
            <w:fldChar w:fldCharType="end"/>
          </w:r>
          <w:r>
            <w:rPr>
              <w:rFonts w:hint="eastAsia"/>
              <w:color w:val="auto"/>
            </w:rPr>
            <w:fldChar w:fldCharType="end"/>
          </w:r>
        </w:p>
        <w:p w14:paraId="2AB9F081">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"_Toc230106828" </w:instrText>
          </w:r>
          <w:r>
            <w:rPr>
              <w:color w:val="auto"/>
            </w:rPr>
            <w:fldChar w:fldCharType="separate"/>
          </w:r>
          <w:r>
            <w:rPr>
              <w:rStyle w:val="21"/>
              <w:rFonts w:hint="eastAsia"/>
              <w:color w:val="auto"/>
            </w:rPr>
            <w:t>1.2.5 建设必要性分析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_Toc230106828 \h</w:instrText>
          </w:r>
          <w:r>
            <w:rPr>
              <w:rFonts w:hint="eastAsia"/>
              <w:color w:val="auto"/>
            </w:rPr>
            <w:instrText xml:space="preserve"> </w:instrText>
          </w:r>
          <w:r>
            <w:rPr>
              <w:rFonts w:hint="eastAsia"/>
              <w:color w:val="auto"/>
            </w:rPr>
            <w:fldChar w:fldCharType="separate"/>
          </w:r>
          <w:r>
            <w:rPr>
              <w:rFonts w:hint="eastAsia"/>
              <w:color w:val="auto"/>
            </w:rPr>
            <w:t>10</w:t>
          </w:r>
          <w:r>
            <w:rPr>
              <w:rFonts w:hint="eastAsia"/>
              <w:color w:val="auto"/>
            </w:rPr>
            <w:fldChar w:fldCharType="end"/>
          </w:r>
          <w:r>
            <w:rPr>
              <w:rFonts w:hint="eastAsia"/>
              <w:color w:val="auto"/>
            </w:rPr>
            <w:fldChar w:fldCharType="end"/>
          </w:r>
        </w:p>
        <w:p w14:paraId="3A4C4D05">
          <w:pPr>
            <w:pStyle w:val="14"/>
            <w:tabs>
              <w:tab w:val="right" w:leader="dot" w:pos="8296"/>
            </w:tabs>
            <w:rPr>
              <w:rFonts w:hint="eastAsia" w:eastAsiaTheme="minorEastAsia"/>
              <w:color w:val="auto"/>
              <w:sz w:val="22"/>
            </w:rPr>
          </w:pPr>
          <w:r>
            <w:rPr>
              <w:color w:val="auto"/>
            </w:rPr>
            <w:fldChar w:fldCharType="begin"/>
          </w:r>
          <w:r>
            <w:rPr>
              <w:color w:val="auto"/>
            </w:rPr>
            <w:instrText xml:space="preserve"> HYPERLINK \l "_Toc230106829" </w:instrText>
          </w:r>
          <w:r>
            <w:rPr>
              <w:color w:val="auto"/>
            </w:rPr>
            <w:fldChar w:fldCharType="separate"/>
          </w:r>
          <w:r>
            <w:rPr>
              <w:rStyle w:val="21"/>
              <w:rFonts w:hint="eastAsia"/>
              <w:color w:val="auto"/>
              <w14:scene3d>
                <w14:lightRig w14:rig="threePt" w14:dir="t">
                  <w14:rot w14:lat="0" w14:lon="0" w14:rev="0"/>
                </w14:lightRig>
              </w14:scene3d>
              <w14:ligatures w14:val="none"/>
            </w:rPr>
            <w:t>第二章</w:t>
          </w:r>
          <w:r>
            <w:rPr>
              <w:rStyle w:val="21"/>
              <w:rFonts w:hint="eastAsia"/>
              <w:color w:val="auto"/>
            </w:rPr>
            <w:t xml:space="preserve"> 需求分析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_Toc230106829 \h</w:instrText>
          </w:r>
          <w:r>
            <w:rPr>
              <w:rFonts w:hint="eastAsia"/>
              <w:color w:val="auto"/>
            </w:rPr>
            <w:instrText xml:space="preserve"> </w:instrText>
          </w:r>
          <w:r>
            <w:rPr>
              <w:rFonts w:hint="eastAsia"/>
              <w:color w:val="auto"/>
            </w:rPr>
            <w:fldChar w:fldCharType="separate"/>
          </w:r>
          <w:r>
            <w:rPr>
              <w:rFonts w:hint="eastAsia"/>
              <w:color w:val="auto"/>
            </w:rPr>
            <w:t>12</w:t>
          </w:r>
          <w:r>
            <w:rPr>
              <w:rFonts w:hint="eastAsia"/>
              <w:color w:val="auto"/>
            </w:rPr>
            <w:fldChar w:fldCharType="end"/>
          </w:r>
          <w:r>
            <w:rPr>
              <w:rFonts w:hint="eastAsia"/>
              <w:color w:val="auto"/>
            </w:rPr>
            <w:fldChar w:fldCharType="end"/>
          </w:r>
        </w:p>
        <w:p w14:paraId="1C338F96">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"_Toc230106830" </w:instrText>
          </w:r>
          <w:r>
            <w:rPr>
              <w:color w:val="auto"/>
            </w:rPr>
            <w:fldChar w:fldCharType="separate"/>
          </w:r>
          <w:r>
            <w:rPr>
              <w:rStyle w:val="21"/>
              <w:rFonts w:hint="eastAsia"/>
              <w:color w:val="auto"/>
            </w:rPr>
            <w:t>2.1 业务需求</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_Toc230106830 \h</w:instrText>
          </w:r>
          <w:r>
            <w:rPr>
              <w:rFonts w:hint="eastAsia"/>
              <w:color w:val="auto"/>
            </w:rPr>
            <w:instrText xml:space="preserve"> </w:instrText>
          </w:r>
          <w:r>
            <w:rPr>
              <w:rFonts w:hint="eastAsia"/>
              <w:color w:val="auto"/>
            </w:rPr>
            <w:fldChar w:fldCharType="separate"/>
          </w:r>
          <w:r>
            <w:rPr>
              <w:rFonts w:hint="eastAsia"/>
              <w:color w:val="auto"/>
            </w:rPr>
            <w:t>12</w:t>
          </w:r>
          <w:r>
            <w:rPr>
              <w:rFonts w:hint="eastAsia"/>
              <w:color w:val="auto"/>
            </w:rPr>
            <w:fldChar w:fldCharType="end"/>
          </w:r>
          <w:r>
            <w:rPr>
              <w:rFonts w:hint="eastAsia"/>
              <w:color w:val="auto"/>
            </w:rPr>
            <w:fldChar w:fldCharType="end"/>
          </w:r>
        </w:p>
        <w:p w14:paraId="01182E02">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"_Toc230106831" </w:instrText>
          </w:r>
          <w:r>
            <w:rPr>
              <w:color w:val="auto"/>
            </w:rPr>
            <w:fldChar w:fldCharType="separate"/>
          </w:r>
          <w:r>
            <w:rPr>
              <w:rStyle w:val="21"/>
              <w:rFonts w:hint="eastAsia"/>
              <w:color w:val="auto"/>
            </w:rPr>
            <w:t>2.1.1 业务现状、存在的具体问题和业务目标</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_Toc230106831 \h</w:instrText>
          </w:r>
          <w:r>
            <w:rPr>
              <w:rFonts w:hint="eastAsia"/>
              <w:color w:val="auto"/>
            </w:rPr>
            <w:instrText xml:space="preserve"> </w:instrText>
          </w:r>
          <w:r>
            <w:rPr>
              <w:rFonts w:hint="eastAsia"/>
              <w:color w:val="auto"/>
            </w:rPr>
            <w:fldChar w:fldCharType="separate"/>
          </w:r>
          <w:r>
            <w:rPr>
              <w:rFonts w:hint="eastAsia"/>
              <w:color w:val="auto"/>
            </w:rPr>
            <w:t>12</w:t>
          </w:r>
          <w:r>
            <w:rPr>
              <w:rFonts w:hint="eastAsia"/>
              <w:color w:val="auto"/>
            </w:rPr>
            <w:fldChar w:fldCharType="end"/>
          </w:r>
          <w:r>
            <w:rPr>
              <w:rFonts w:hint="eastAsia"/>
              <w:color w:val="auto"/>
            </w:rPr>
            <w:fldChar w:fldCharType="end"/>
          </w:r>
        </w:p>
        <w:p w14:paraId="17A9C544">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"_Toc230106832" </w:instrText>
          </w:r>
          <w:r>
            <w:rPr>
              <w:color w:val="auto"/>
            </w:rPr>
            <w:fldChar w:fldCharType="separate"/>
          </w:r>
          <w:r>
            <w:rPr>
              <w:rStyle w:val="21"/>
              <w:rFonts w:hint="eastAsia"/>
              <w:color w:val="auto"/>
            </w:rPr>
            <w:t>2.1.2 实施该项目与解决业务问题、实现业务目标的关系</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_Toc230106832 \h</w:instrText>
          </w:r>
          <w:r>
            <w:rPr>
              <w:rFonts w:hint="eastAsia"/>
              <w:color w:val="auto"/>
            </w:rPr>
            <w:instrText xml:space="preserve"> </w:instrText>
          </w:r>
          <w:r>
            <w:rPr>
              <w:rFonts w:hint="eastAsia"/>
              <w:color w:val="auto"/>
            </w:rPr>
            <w:fldChar w:fldCharType="separate"/>
          </w:r>
          <w:r>
            <w:rPr>
              <w:rFonts w:hint="eastAsia"/>
              <w:color w:val="auto"/>
            </w:rPr>
            <w:t>14</w:t>
          </w:r>
          <w:r>
            <w:rPr>
              <w:rFonts w:hint="eastAsia"/>
              <w:color w:val="auto"/>
            </w:rPr>
            <w:fldChar w:fldCharType="end"/>
          </w:r>
          <w:r>
            <w:rPr>
              <w:rFonts w:hint="eastAsia"/>
              <w:color w:val="auto"/>
            </w:rPr>
            <w:fldChar w:fldCharType="end"/>
          </w:r>
        </w:p>
        <w:p w14:paraId="67018091">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"_Toc230106833" </w:instrText>
          </w:r>
          <w:r>
            <w:rPr>
              <w:color w:val="auto"/>
            </w:rPr>
            <w:fldChar w:fldCharType="separate"/>
          </w:r>
          <w:r>
            <w:rPr>
              <w:rStyle w:val="21"/>
              <w:rFonts w:hint="eastAsia"/>
              <w:color w:val="auto"/>
            </w:rPr>
            <w:t>2.2 功能及用户需求</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_Toc230106833 \h</w:instrText>
          </w:r>
          <w:r>
            <w:rPr>
              <w:rFonts w:hint="eastAsia"/>
              <w:color w:val="auto"/>
            </w:rPr>
            <w:instrText xml:space="preserve"> </w:instrText>
          </w:r>
          <w:r>
            <w:rPr>
              <w:rFonts w:hint="eastAsia"/>
              <w:color w:val="auto"/>
            </w:rPr>
            <w:fldChar w:fldCharType="separate"/>
          </w:r>
          <w:r>
            <w:rPr>
              <w:rFonts w:hint="eastAsia"/>
              <w:color w:val="auto"/>
            </w:rPr>
            <w:t>15</w:t>
          </w:r>
          <w:r>
            <w:rPr>
              <w:rFonts w:hint="eastAsia"/>
              <w:color w:val="auto"/>
            </w:rPr>
            <w:fldChar w:fldCharType="end"/>
          </w:r>
          <w:r>
            <w:rPr>
              <w:rFonts w:hint="eastAsia"/>
              <w:color w:val="auto"/>
            </w:rPr>
            <w:fldChar w:fldCharType="end"/>
          </w:r>
        </w:p>
        <w:p w14:paraId="3FAE2F3A">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"_Toc230106834" </w:instrText>
          </w:r>
          <w:r>
            <w:rPr>
              <w:color w:val="auto"/>
            </w:rPr>
            <w:fldChar w:fldCharType="separate"/>
          </w:r>
          <w:r>
            <w:rPr>
              <w:rStyle w:val="21"/>
              <w:rFonts w:hint="eastAsia"/>
              <w:color w:val="auto"/>
            </w:rPr>
            <w:t>2.2.1 技术发展趋势</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_Toc230106834 \h</w:instrText>
          </w:r>
          <w:r>
            <w:rPr>
              <w:rFonts w:hint="eastAsia"/>
              <w:color w:val="auto"/>
            </w:rPr>
            <w:instrText xml:space="preserve"> </w:instrText>
          </w:r>
          <w:r>
            <w:rPr>
              <w:rFonts w:hint="eastAsia"/>
              <w:color w:val="auto"/>
            </w:rPr>
            <w:fldChar w:fldCharType="separate"/>
          </w:r>
          <w:r>
            <w:rPr>
              <w:rFonts w:hint="eastAsia"/>
              <w:color w:val="auto"/>
            </w:rPr>
            <w:t>15</w:t>
          </w:r>
          <w:r>
            <w:rPr>
              <w:rFonts w:hint="eastAsia"/>
              <w:color w:val="auto"/>
            </w:rPr>
            <w:fldChar w:fldCharType="end"/>
          </w:r>
          <w:r>
            <w:rPr>
              <w:rFonts w:hint="eastAsia"/>
              <w:color w:val="auto"/>
            </w:rPr>
            <w:fldChar w:fldCharType="end"/>
          </w:r>
        </w:p>
        <w:p w14:paraId="18569F7C">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"_Toc230106835" </w:instrText>
          </w:r>
          <w:r>
            <w:rPr>
              <w:color w:val="auto"/>
            </w:rPr>
            <w:fldChar w:fldCharType="separate"/>
          </w:r>
          <w:r>
            <w:rPr>
              <w:rStyle w:val="21"/>
              <w:rFonts w:hint="eastAsia"/>
              <w:color w:val="auto"/>
            </w:rPr>
            <w:t>2.2.2 其他省市先行经验</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_Toc230106835 \h</w:instrText>
          </w:r>
          <w:r>
            <w:rPr>
              <w:rFonts w:hint="eastAsia"/>
              <w:color w:val="auto"/>
            </w:rPr>
            <w:instrText xml:space="preserve"> </w:instrText>
          </w:r>
          <w:r>
            <w:rPr>
              <w:rFonts w:hint="eastAsia"/>
              <w:color w:val="auto"/>
            </w:rPr>
            <w:fldChar w:fldCharType="separate"/>
          </w:r>
          <w:r>
            <w:rPr>
              <w:rFonts w:hint="eastAsia"/>
              <w:color w:val="auto"/>
            </w:rPr>
            <w:t>16</w:t>
          </w:r>
          <w:r>
            <w:rPr>
              <w:rFonts w:hint="eastAsia"/>
              <w:color w:val="auto"/>
            </w:rPr>
            <w:fldChar w:fldCharType="end"/>
          </w:r>
          <w:r>
            <w:rPr>
              <w:rFonts w:hint="eastAsia"/>
              <w:color w:val="auto"/>
            </w:rPr>
            <w:fldChar w:fldCharType="end"/>
          </w:r>
        </w:p>
        <w:p w14:paraId="4E31229A">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"_Toc230106836" </w:instrText>
          </w:r>
          <w:r>
            <w:rPr>
              <w:color w:val="auto"/>
            </w:rPr>
            <w:fldChar w:fldCharType="separate"/>
          </w:r>
          <w:r>
            <w:rPr>
              <w:rStyle w:val="21"/>
              <w:rFonts w:hint="eastAsia"/>
              <w:color w:val="auto"/>
            </w:rPr>
            <w:t>2.2.3 国家政策层面的明确导向</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_Toc230106836 \h</w:instrText>
          </w:r>
          <w:r>
            <w:rPr>
              <w:rFonts w:hint="eastAsia"/>
              <w:color w:val="auto"/>
            </w:rPr>
            <w:instrText xml:space="preserve"> </w:instrText>
          </w:r>
          <w:r>
            <w:rPr>
              <w:rFonts w:hint="eastAsia"/>
              <w:color w:val="auto"/>
            </w:rPr>
            <w:fldChar w:fldCharType="separate"/>
          </w:r>
          <w:r>
            <w:rPr>
              <w:rFonts w:hint="eastAsia"/>
              <w:color w:val="auto"/>
            </w:rPr>
            <w:t>16</w:t>
          </w:r>
          <w:r>
            <w:rPr>
              <w:rFonts w:hint="eastAsia"/>
              <w:color w:val="auto"/>
            </w:rPr>
            <w:fldChar w:fldCharType="end"/>
          </w:r>
          <w:r>
            <w:rPr>
              <w:rFonts w:hint="eastAsia"/>
              <w:color w:val="auto"/>
            </w:rPr>
            <w:fldChar w:fldCharType="end"/>
          </w:r>
        </w:p>
        <w:p w14:paraId="4E093D85">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"_Toc230106837" </w:instrText>
          </w:r>
          <w:r>
            <w:rPr>
              <w:color w:val="auto"/>
            </w:rPr>
            <w:fldChar w:fldCharType="separate"/>
          </w:r>
          <w:r>
            <w:rPr>
              <w:rStyle w:val="21"/>
              <w:rFonts w:hint="eastAsia"/>
              <w:color w:val="auto"/>
            </w:rPr>
            <w:t>2.2.4 合规整改的时间窗口紧迫性</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_Toc230106837 \h</w:instrText>
          </w:r>
          <w:r>
            <w:rPr>
              <w:rFonts w:hint="eastAsia"/>
              <w:color w:val="auto"/>
            </w:rPr>
            <w:instrText xml:space="preserve"> </w:instrText>
          </w:r>
          <w:r>
            <w:rPr>
              <w:rFonts w:hint="eastAsia"/>
              <w:color w:val="auto"/>
            </w:rPr>
            <w:fldChar w:fldCharType="separate"/>
          </w:r>
          <w:r>
            <w:rPr>
              <w:rFonts w:hint="eastAsia"/>
              <w:color w:val="auto"/>
            </w:rPr>
            <w:t>16</w:t>
          </w:r>
          <w:r>
            <w:rPr>
              <w:rFonts w:hint="eastAsia"/>
              <w:color w:val="auto"/>
            </w:rPr>
            <w:fldChar w:fldCharType="end"/>
          </w:r>
          <w:r>
            <w:rPr>
              <w:rFonts w:hint="eastAsia"/>
              <w:color w:val="auto"/>
            </w:rPr>
            <w:fldChar w:fldCharType="end"/>
          </w:r>
        </w:p>
        <w:p w14:paraId="5389ED68">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"_Toc230106838" </w:instrText>
          </w:r>
          <w:r>
            <w:rPr>
              <w:color w:val="auto"/>
            </w:rPr>
            <w:fldChar w:fldCharType="separate"/>
          </w:r>
          <w:r>
            <w:rPr>
              <w:rStyle w:val="21"/>
              <w:rFonts w:hint="eastAsia"/>
              <w:color w:val="auto"/>
            </w:rPr>
            <w:t>2.2.5 存储容量的时间窗口紧迫性</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_Toc230106838 \h</w:instrText>
          </w:r>
          <w:r>
            <w:rPr>
              <w:rFonts w:hint="eastAsia"/>
              <w:color w:val="auto"/>
            </w:rPr>
            <w:instrText xml:space="preserve"> </w:instrText>
          </w:r>
          <w:r>
            <w:rPr>
              <w:rFonts w:hint="eastAsia"/>
              <w:color w:val="auto"/>
            </w:rPr>
            <w:fldChar w:fldCharType="separate"/>
          </w:r>
          <w:r>
            <w:rPr>
              <w:rFonts w:hint="eastAsia"/>
              <w:color w:val="auto"/>
            </w:rPr>
            <w:t>16</w:t>
          </w:r>
          <w:r>
            <w:rPr>
              <w:rFonts w:hint="eastAsia"/>
              <w:color w:val="auto"/>
            </w:rPr>
            <w:fldChar w:fldCharType="end"/>
          </w:r>
          <w:r>
            <w:rPr>
              <w:rFonts w:hint="eastAsia"/>
              <w:color w:val="auto"/>
            </w:rPr>
            <w:fldChar w:fldCharType="end"/>
          </w:r>
        </w:p>
        <w:p w14:paraId="6D65A3AB">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"_Toc230106839" </w:instrText>
          </w:r>
          <w:r>
            <w:rPr>
              <w:color w:val="auto"/>
            </w:rPr>
            <w:fldChar w:fldCharType="separate"/>
          </w:r>
          <w:r>
            <w:rPr>
              <w:rStyle w:val="21"/>
              <w:rFonts w:hint="eastAsia"/>
              <w:color w:val="auto"/>
            </w:rPr>
            <w:t>2.2.6 业务增长压力的时间窗口紧迫性</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_Toc230106839 \h</w:instrText>
          </w:r>
          <w:r>
            <w:rPr>
              <w:rFonts w:hint="eastAsia"/>
              <w:color w:val="auto"/>
            </w:rPr>
            <w:instrText xml:space="preserve"> </w:instrText>
          </w:r>
          <w:r>
            <w:rPr>
              <w:rFonts w:hint="eastAsia"/>
              <w:color w:val="auto"/>
            </w:rPr>
            <w:fldChar w:fldCharType="separate"/>
          </w:r>
          <w:r>
            <w:rPr>
              <w:rFonts w:hint="eastAsia"/>
              <w:color w:val="auto"/>
            </w:rPr>
            <w:t>17</w:t>
          </w:r>
          <w:r>
            <w:rPr>
              <w:rFonts w:hint="eastAsia"/>
              <w:color w:val="auto"/>
            </w:rPr>
            <w:fldChar w:fldCharType="end"/>
          </w:r>
          <w:r>
            <w:rPr>
              <w:rFonts w:hint="eastAsia"/>
              <w:color w:val="auto"/>
            </w:rPr>
            <w:fldChar w:fldCharType="end"/>
          </w:r>
        </w:p>
        <w:p w14:paraId="6F44BEBF">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"_Toc230106840" </w:instrText>
          </w:r>
          <w:r>
            <w:rPr>
              <w:color w:val="auto"/>
            </w:rPr>
            <w:fldChar w:fldCharType="separate"/>
          </w:r>
          <w:r>
            <w:rPr>
              <w:rStyle w:val="21"/>
              <w:rFonts w:hint="eastAsia"/>
              <w:color w:val="auto"/>
            </w:rPr>
            <w:t>2.2.7 重大活动保障的紧迫性</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_Toc230106840 \h</w:instrText>
          </w:r>
          <w:r>
            <w:rPr>
              <w:rFonts w:hint="eastAsia"/>
              <w:color w:val="auto"/>
            </w:rPr>
            <w:instrText xml:space="preserve"> </w:instrText>
          </w:r>
          <w:r>
            <w:rPr>
              <w:rFonts w:hint="eastAsia"/>
              <w:color w:val="auto"/>
            </w:rPr>
            <w:fldChar w:fldCharType="separate"/>
          </w:r>
          <w:r>
            <w:rPr>
              <w:rFonts w:hint="eastAsia"/>
              <w:color w:val="auto"/>
            </w:rPr>
            <w:t>17</w:t>
          </w:r>
          <w:r>
            <w:rPr>
              <w:rFonts w:hint="eastAsia"/>
              <w:color w:val="auto"/>
            </w:rPr>
            <w:fldChar w:fldCharType="end"/>
          </w:r>
          <w:r>
            <w:rPr>
              <w:rFonts w:hint="eastAsia"/>
              <w:color w:val="auto"/>
            </w:rPr>
            <w:fldChar w:fldCharType="end"/>
          </w:r>
        </w:p>
        <w:p w14:paraId="3B568752">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"_Toc230106841" </w:instrText>
          </w:r>
          <w:r>
            <w:rPr>
              <w:color w:val="auto"/>
            </w:rPr>
            <w:fldChar w:fldCharType="separate"/>
          </w:r>
          <w:r>
            <w:rPr>
              <w:rStyle w:val="21"/>
              <w:rFonts w:hint="eastAsia"/>
              <w:color w:val="auto"/>
            </w:rPr>
            <w:t>2.3 数据需求</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_Toc230106841 \h</w:instrText>
          </w:r>
          <w:r>
            <w:rPr>
              <w:rFonts w:hint="eastAsia"/>
              <w:color w:val="auto"/>
            </w:rPr>
            <w:instrText xml:space="preserve"> </w:instrText>
          </w:r>
          <w:r>
            <w:rPr>
              <w:rFonts w:hint="eastAsia"/>
              <w:color w:val="auto"/>
            </w:rPr>
            <w:fldChar w:fldCharType="separate"/>
          </w:r>
          <w:r>
            <w:rPr>
              <w:rFonts w:hint="eastAsia"/>
              <w:color w:val="auto"/>
            </w:rPr>
            <w:t>17</w:t>
          </w:r>
          <w:r>
            <w:rPr>
              <w:rFonts w:hint="eastAsia"/>
              <w:color w:val="auto"/>
            </w:rPr>
            <w:fldChar w:fldCharType="end"/>
          </w:r>
          <w:r>
            <w:rPr>
              <w:rFonts w:hint="eastAsia"/>
              <w:color w:val="auto"/>
            </w:rPr>
            <w:fldChar w:fldCharType="end"/>
          </w:r>
        </w:p>
        <w:p w14:paraId="019217DB">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"_Toc230106842" </w:instrText>
          </w:r>
          <w:r>
            <w:rPr>
              <w:color w:val="auto"/>
            </w:rPr>
            <w:fldChar w:fldCharType="separate"/>
          </w:r>
          <w:r>
            <w:rPr>
              <w:rStyle w:val="21"/>
              <w:rFonts w:hint="eastAsia"/>
              <w:color w:val="auto"/>
            </w:rPr>
            <w:t>2.3.1 平台资源与容量压力分析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_Toc230106842 \h</w:instrText>
          </w:r>
          <w:r>
            <w:rPr>
              <w:rFonts w:hint="eastAsia"/>
              <w:color w:val="auto"/>
            </w:rPr>
            <w:instrText xml:space="preserve"> </w:instrText>
          </w:r>
          <w:r>
            <w:rPr>
              <w:rFonts w:hint="eastAsia"/>
              <w:color w:val="auto"/>
            </w:rPr>
            <w:fldChar w:fldCharType="separate"/>
          </w:r>
          <w:r>
            <w:rPr>
              <w:rFonts w:hint="eastAsia"/>
              <w:color w:val="auto"/>
            </w:rPr>
            <w:t>17</w:t>
          </w:r>
          <w:r>
            <w:rPr>
              <w:rFonts w:hint="eastAsia"/>
              <w:color w:val="auto"/>
            </w:rPr>
            <w:fldChar w:fldCharType="end"/>
          </w:r>
          <w:r>
            <w:rPr>
              <w:rFonts w:hint="eastAsia"/>
              <w:color w:val="auto"/>
            </w:rPr>
            <w:fldChar w:fldCharType="end"/>
          </w:r>
        </w:p>
        <w:p w14:paraId="5CA9CF79">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"_Toc230106843" </w:instrText>
          </w:r>
          <w:r>
            <w:rPr>
              <w:color w:val="auto"/>
            </w:rPr>
            <w:fldChar w:fldCharType="separate"/>
          </w:r>
          <w:r>
            <w:rPr>
              <w:rStyle w:val="21"/>
              <w:rFonts w:hint="eastAsia"/>
              <w:color w:val="auto"/>
            </w:rPr>
            <w:t>2.3.2 数据增长趋势分析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_Toc230106843 \h</w:instrText>
          </w:r>
          <w:r>
            <w:rPr>
              <w:rFonts w:hint="eastAsia"/>
              <w:color w:val="auto"/>
            </w:rPr>
            <w:instrText xml:space="preserve"> </w:instrText>
          </w:r>
          <w:r>
            <w:rPr>
              <w:rFonts w:hint="eastAsia"/>
              <w:color w:val="auto"/>
            </w:rPr>
            <w:fldChar w:fldCharType="separate"/>
          </w:r>
          <w:r>
            <w:rPr>
              <w:rFonts w:hint="eastAsia"/>
              <w:color w:val="auto"/>
            </w:rPr>
            <w:t>19</w:t>
          </w:r>
          <w:r>
            <w:rPr>
              <w:rFonts w:hint="eastAsia"/>
              <w:color w:val="auto"/>
            </w:rPr>
            <w:fldChar w:fldCharType="end"/>
          </w:r>
          <w:r>
            <w:rPr>
              <w:rFonts w:hint="eastAsia"/>
              <w:color w:val="auto"/>
            </w:rPr>
            <w:fldChar w:fldCharType="end"/>
          </w:r>
        </w:p>
        <w:p w14:paraId="79894785">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"_Toc230106844" </w:instrText>
          </w:r>
          <w:r>
            <w:rPr>
              <w:color w:val="auto"/>
            </w:rPr>
            <w:fldChar w:fldCharType="separate"/>
          </w:r>
          <w:r>
            <w:rPr>
              <w:rStyle w:val="21"/>
              <w:rFonts w:hint="eastAsia"/>
              <w:color w:val="auto"/>
            </w:rPr>
            <w:t>2.3.3 接口与业务增长趋势分析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_Toc230106844 \h</w:instrText>
          </w:r>
          <w:r>
            <w:rPr>
              <w:rFonts w:hint="eastAsia"/>
              <w:color w:val="auto"/>
            </w:rPr>
            <w:instrText xml:space="preserve"> </w:instrText>
          </w:r>
          <w:r>
            <w:rPr>
              <w:rFonts w:hint="eastAsia"/>
              <w:color w:val="auto"/>
            </w:rPr>
            <w:fldChar w:fldCharType="separate"/>
          </w:r>
          <w:r>
            <w:rPr>
              <w:rFonts w:hint="eastAsia"/>
              <w:color w:val="auto"/>
            </w:rPr>
            <w:t>20</w:t>
          </w:r>
          <w:r>
            <w:rPr>
              <w:rFonts w:hint="eastAsia"/>
              <w:color w:val="auto"/>
            </w:rPr>
            <w:fldChar w:fldCharType="end"/>
          </w:r>
          <w:r>
            <w:rPr>
              <w:rFonts w:hint="eastAsia"/>
              <w:color w:val="auto"/>
            </w:rPr>
            <w:fldChar w:fldCharType="end"/>
          </w:r>
        </w:p>
        <w:p w14:paraId="2289BA92">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"_Toc230106845" </w:instrText>
          </w:r>
          <w:r>
            <w:rPr>
              <w:color w:val="auto"/>
            </w:rPr>
            <w:fldChar w:fldCharType="separate"/>
          </w:r>
          <w:r>
            <w:rPr>
              <w:rStyle w:val="21"/>
              <w:rFonts w:hint="eastAsia"/>
              <w:color w:val="auto"/>
            </w:rPr>
            <w:t>2.3.4 性能瓶颈专项分析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_Toc230106845 \h</w:instrText>
          </w:r>
          <w:r>
            <w:rPr>
              <w:rFonts w:hint="eastAsia"/>
              <w:color w:val="auto"/>
            </w:rPr>
            <w:instrText xml:space="preserve"> </w:instrText>
          </w:r>
          <w:r>
            <w:rPr>
              <w:rFonts w:hint="eastAsia"/>
              <w:color w:val="auto"/>
            </w:rPr>
            <w:fldChar w:fldCharType="separate"/>
          </w:r>
          <w:r>
            <w:rPr>
              <w:rFonts w:hint="eastAsia"/>
              <w:color w:val="auto"/>
            </w:rPr>
            <w:t>21</w:t>
          </w:r>
          <w:r>
            <w:rPr>
              <w:rFonts w:hint="eastAsia"/>
              <w:color w:val="auto"/>
            </w:rPr>
            <w:fldChar w:fldCharType="end"/>
          </w:r>
          <w:r>
            <w:rPr>
              <w:rFonts w:hint="eastAsia"/>
              <w:color w:val="auto"/>
            </w:rPr>
            <w:fldChar w:fldCharType="end"/>
          </w:r>
        </w:p>
        <w:p w14:paraId="18C73341">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"_Toc230106846" </w:instrText>
          </w:r>
          <w:r>
            <w:rPr>
              <w:color w:val="auto"/>
            </w:rPr>
            <w:fldChar w:fldCharType="separate"/>
          </w:r>
          <w:r>
            <w:rPr>
              <w:rStyle w:val="21"/>
              <w:rFonts w:hint="eastAsia"/>
              <w:color w:val="auto"/>
            </w:rPr>
            <w:t>2.4 安全需求分析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_Toc230106846 \h</w:instrText>
          </w:r>
          <w:r>
            <w:rPr>
              <w:rFonts w:hint="eastAsia"/>
              <w:color w:val="auto"/>
            </w:rPr>
            <w:instrText xml:space="preserve"> </w:instrText>
          </w:r>
          <w:r>
            <w:rPr>
              <w:rFonts w:hint="eastAsia"/>
              <w:color w:val="auto"/>
            </w:rPr>
            <w:fldChar w:fldCharType="separate"/>
          </w:r>
          <w:r>
            <w:rPr>
              <w:rFonts w:hint="eastAsia"/>
              <w:color w:val="auto"/>
            </w:rPr>
            <w:t>22</w:t>
          </w:r>
          <w:r>
            <w:rPr>
              <w:rFonts w:hint="eastAsia"/>
              <w:color w:val="auto"/>
            </w:rPr>
            <w:fldChar w:fldCharType="end"/>
          </w:r>
          <w:r>
            <w:rPr>
              <w:rFonts w:hint="eastAsia"/>
              <w:color w:val="auto"/>
            </w:rPr>
            <w:fldChar w:fldCharType="end"/>
          </w:r>
        </w:p>
        <w:p w14:paraId="2D0611A4">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"_Toc230106847" </w:instrText>
          </w:r>
          <w:r>
            <w:rPr>
              <w:color w:val="auto"/>
            </w:rPr>
            <w:fldChar w:fldCharType="separate"/>
          </w:r>
          <w:r>
            <w:rPr>
              <w:rStyle w:val="21"/>
              <w:rFonts w:hint="eastAsia"/>
              <w:color w:val="auto"/>
            </w:rPr>
            <w:t>2.4.1 密评合规差距分析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_Toc230106847 \h</w:instrText>
          </w:r>
          <w:r>
            <w:rPr>
              <w:rFonts w:hint="eastAsia"/>
              <w:color w:val="auto"/>
            </w:rPr>
            <w:instrText xml:space="preserve"> </w:instrText>
          </w:r>
          <w:r>
            <w:rPr>
              <w:rFonts w:hint="eastAsia"/>
              <w:color w:val="auto"/>
            </w:rPr>
            <w:fldChar w:fldCharType="separate"/>
          </w:r>
          <w:r>
            <w:rPr>
              <w:rFonts w:hint="eastAsia"/>
              <w:color w:val="auto"/>
            </w:rPr>
            <w:t>22</w:t>
          </w:r>
          <w:r>
            <w:rPr>
              <w:rFonts w:hint="eastAsia"/>
              <w:color w:val="auto"/>
            </w:rPr>
            <w:fldChar w:fldCharType="end"/>
          </w:r>
          <w:r>
            <w:rPr>
              <w:rFonts w:hint="eastAsia"/>
              <w:color w:val="auto"/>
            </w:rPr>
            <w:fldChar w:fldCharType="end"/>
          </w:r>
        </w:p>
        <w:p w14:paraId="5CDF8FED">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"_Toc230106848" </w:instrText>
          </w:r>
          <w:r>
            <w:rPr>
              <w:color w:val="auto"/>
            </w:rPr>
            <w:fldChar w:fldCharType="separate"/>
          </w:r>
          <w:r>
            <w:rPr>
              <w:rStyle w:val="21"/>
              <w:rFonts w:hint="eastAsia"/>
              <w:color w:val="auto"/>
            </w:rPr>
            <w:t>2.4.2 信创改造合规要求</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_Toc230106848 \h</w:instrText>
          </w:r>
          <w:r>
            <w:rPr>
              <w:rFonts w:hint="eastAsia"/>
              <w:color w:val="auto"/>
            </w:rPr>
            <w:instrText xml:space="preserve"> </w:instrText>
          </w:r>
          <w:r>
            <w:rPr>
              <w:rFonts w:hint="eastAsia"/>
              <w:color w:val="auto"/>
            </w:rPr>
            <w:fldChar w:fldCharType="separate"/>
          </w:r>
          <w:r>
            <w:rPr>
              <w:rFonts w:hint="eastAsia"/>
              <w:color w:val="auto"/>
            </w:rPr>
            <w:t>22</w:t>
          </w:r>
          <w:r>
            <w:rPr>
              <w:rFonts w:hint="eastAsia"/>
              <w:color w:val="auto"/>
            </w:rPr>
            <w:fldChar w:fldCharType="end"/>
          </w:r>
          <w:r>
            <w:rPr>
              <w:rFonts w:hint="eastAsia"/>
              <w:color w:val="auto"/>
            </w:rPr>
            <w:fldChar w:fldCharType="end"/>
          </w:r>
        </w:p>
        <w:p w14:paraId="07A15EA7">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"_Toc230106849" </w:instrText>
          </w:r>
          <w:r>
            <w:rPr>
              <w:color w:val="auto"/>
            </w:rPr>
            <w:fldChar w:fldCharType="separate"/>
          </w:r>
          <w:r>
            <w:rPr>
              <w:rStyle w:val="21"/>
              <w:rFonts w:hint="eastAsia"/>
              <w:color w:val="auto"/>
            </w:rPr>
            <w:t>2.4.3 数据安全合规风险</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_Toc230106849 \h</w:instrText>
          </w:r>
          <w:r>
            <w:rPr>
              <w:rFonts w:hint="eastAsia"/>
              <w:color w:val="auto"/>
            </w:rPr>
            <w:instrText xml:space="preserve"> </w:instrText>
          </w:r>
          <w:r>
            <w:rPr>
              <w:rFonts w:hint="eastAsia"/>
              <w:color w:val="auto"/>
            </w:rPr>
            <w:fldChar w:fldCharType="separate"/>
          </w:r>
          <w:r>
            <w:rPr>
              <w:rFonts w:hint="eastAsia"/>
              <w:color w:val="auto"/>
            </w:rPr>
            <w:t>23</w:t>
          </w:r>
          <w:r>
            <w:rPr>
              <w:rFonts w:hint="eastAsia"/>
              <w:color w:val="auto"/>
            </w:rPr>
            <w:fldChar w:fldCharType="end"/>
          </w:r>
          <w:r>
            <w:rPr>
              <w:rFonts w:hint="eastAsia"/>
              <w:color w:val="auto"/>
            </w:rPr>
            <w:fldChar w:fldCharType="end"/>
          </w:r>
        </w:p>
        <w:p w14:paraId="54B8E131">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"_Toc230106850" </w:instrText>
          </w:r>
          <w:r>
            <w:rPr>
              <w:color w:val="auto"/>
            </w:rPr>
            <w:fldChar w:fldCharType="separate"/>
          </w:r>
          <w:r>
            <w:rPr>
              <w:rStyle w:val="21"/>
              <w:rFonts w:hint="eastAsia"/>
              <w:color w:val="auto"/>
            </w:rPr>
            <w:t>2.5 设备需求分析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_Toc230106850 \h</w:instrText>
          </w:r>
          <w:r>
            <w:rPr>
              <w:rFonts w:hint="eastAsia"/>
              <w:color w:val="auto"/>
            </w:rPr>
            <w:instrText xml:space="preserve"> </w:instrText>
          </w:r>
          <w:r>
            <w:rPr>
              <w:rFonts w:hint="eastAsia"/>
              <w:color w:val="auto"/>
            </w:rPr>
            <w:fldChar w:fldCharType="separate"/>
          </w:r>
          <w:r>
            <w:rPr>
              <w:rFonts w:hint="eastAsia"/>
              <w:color w:val="auto"/>
            </w:rPr>
            <w:t>23</w:t>
          </w:r>
          <w:r>
            <w:rPr>
              <w:rFonts w:hint="eastAsia"/>
              <w:color w:val="auto"/>
            </w:rPr>
            <w:fldChar w:fldCharType="end"/>
          </w:r>
          <w:r>
            <w:rPr>
              <w:rFonts w:hint="eastAsia"/>
              <w:color w:val="auto"/>
            </w:rPr>
            <w:fldChar w:fldCharType="end"/>
          </w:r>
        </w:p>
        <w:p w14:paraId="53A3FB4D">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"_Toc230106851" </w:instrText>
          </w:r>
          <w:r>
            <w:rPr>
              <w:color w:val="auto"/>
            </w:rPr>
            <w:fldChar w:fldCharType="separate"/>
          </w:r>
          <w:r>
            <w:rPr>
              <w:rStyle w:val="21"/>
              <w:rFonts w:hint="eastAsia"/>
              <w:color w:val="auto"/>
            </w:rPr>
            <w:t>2.6 软件需求分析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_Toc230106851 \h</w:instrText>
          </w:r>
          <w:r>
            <w:rPr>
              <w:rFonts w:hint="eastAsia"/>
              <w:color w:val="auto"/>
            </w:rPr>
            <w:instrText xml:space="preserve"> </w:instrText>
          </w:r>
          <w:r>
            <w:rPr>
              <w:rFonts w:hint="eastAsia"/>
              <w:color w:val="auto"/>
            </w:rPr>
            <w:fldChar w:fldCharType="separate"/>
          </w:r>
          <w:r>
            <w:rPr>
              <w:rFonts w:hint="eastAsia"/>
              <w:color w:val="auto"/>
            </w:rPr>
            <w:t>23</w:t>
          </w:r>
          <w:r>
            <w:rPr>
              <w:rFonts w:hint="eastAsia"/>
              <w:color w:val="auto"/>
            </w:rPr>
            <w:fldChar w:fldCharType="end"/>
          </w:r>
          <w:r>
            <w:rPr>
              <w:rFonts w:hint="eastAsia"/>
              <w:color w:val="auto"/>
            </w:rPr>
            <w:fldChar w:fldCharType="end"/>
          </w:r>
        </w:p>
        <w:p w14:paraId="54ECA565">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"_Toc230106852" </w:instrText>
          </w:r>
          <w:r>
            <w:rPr>
              <w:color w:val="auto"/>
            </w:rPr>
            <w:fldChar w:fldCharType="separate"/>
          </w:r>
          <w:r>
            <w:rPr>
              <w:rStyle w:val="21"/>
              <w:rFonts w:hint="eastAsia"/>
              <w:color w:val="auto"/>
            </w:rPr>
            <w:t>2.6.1 Hadoop生态架构的固有局限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_Toc230106852 \h</w:instrText>
          </w:r>
          <w:r>
            <w:rPr>
              <w:rFonts w:hint="eastAsia"/>
              <w:color w:val="auto"/>
            </w:rPr>
            <w:instrText xml:space="preserve"> </w:instrText>
          </w:r>
          <w:r>
            <w:rPr>
              <w:rFonts w:hint="eastAsia"/>
              <w:color w:val="auto"/>
            </w:rPr>
            <w:fldChar w:fldCharType="separate"/>
          </w:r>
          <w:r>
            <w:rPr>
              <w:rFonts w:hint="eastAsia"/>
              <w:color w:val="auto"/>
            </w:rPr>
            <w:t>23</w:t>
          </w:r>
          <w:r>
            <w:rPr>
              <w:rFonts w:hint="eastAsia"/>
              <w:color w:val="auto"/>
            </w:rPr>
            <w:fldChar w:fldCharType="end"/>
          </w:r>
          <w:r>
            <w:rPr>
              <w:rFonts w:hint="eastAsia"/>
              <w:color w:val="auto"/>
            </w:rPr>
            <w:fldChar w:fldCharType="end"/>
          </w:r>
        </w:p>
        <w:p w14:paraId="1591E72A">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"_Toc230106853" </w:instrText>
          </w:r>
          <w:r>
            <w:rPr>
              <w:color w:val="auto"/>
            </w:rPr>
            <w:fldChar w:fldCharType="separate"/>
          </w:r>
          <w:r>
            <w:rPr>
              <w:rStyle w:val="21"/>
              <w:rFonts w:hint="eastAsia"/>
              <w:color w:val="auto"/>
            </w:rPr>
            <w:t>2.6.2 Inceptor引擎的技术局限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_Toc230106853 \h</w:instrText>
          </w:r>
          <w:r>
            <w:rPr>
              <w:rFonts w:hint="eastAsia"/>
              <w:color w:val="auto"/>
            </w:rPr>
            <w:instrText xml:space="preserve"> </w:instrText>
          </w:r>
          <w:r>
            <w:rPr>
              <w:rFonts w:hint="eastAsia"/>
              <w:color w:val="auto"/>
            </w:rPr>
            <w:fldChar w:fldCharType="separate"/>
          </w:r>
          <w:r>
            <w:rPr>
              <w:rFonts w:hint="eastAsia"/>
              <w:color w:val="auto"/>
            </w:rPr>
            <w:t>24</w:t>
          </w:r>
          <w:r>
            <w:rPr>
              <w:rFonts w:hint="eastAsia"/>
              <w:color w:val="auto"/>
            </w:rPr>
            <w:fldChar w:fldCharType="end"/>
          </w:r>
          <w:r>
            <w:rPr>
              <w:rFonts w:hint="eastAsia"/>
              <w:color w:val="auto"/>
            </w:rPr>
            <w:fldChar w:fldCharType="end"/>
          </w:r>
        </w:p>
        <w:p w14:paraId="195DF713">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"_Toc230106854" </w:instrText>
          </w:r>
          <w:r>
            <w:rPr>
              <w:color w:val="auto"/>
            </w:rPr>
            <w:fldChar w:fldCharType="separate"/>
          </w:r>
          <w:r>
            <w:rPr>
              <w:rStyle w:val="21"/>
              <w:rFonts w:hint="eastAsia"/>
              <w:color w:val="auto"/>
            </w:rPr>
            <w:t>2.6.3 平台技术生命周期评估</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_Toc230106854 \h</w:instrText>
          </w:r>
          <w:r>
            <w:rPr>
              <w:rFonts w:hint="eastAsia"/>
              <w:color w:val="auto"/>
            </w:rPr>
            <w:instrText xml:space="preserve"> </w:instrText>
          </w:r>
          <w:r>
            <w:rPr>
              <w:rFonts w:hint="eastAsia"/>
              <w:color w:val="auto"/>
            </w:rPr>
            <w:fldChar w:fldCharType="separate"/>
          </w:r>
          <w:r>
            <w:rPr>
              <w:rFonts w:hint="eastAsia"/>
              <w:color w:val="auto"/>
            </w:rPr>
            <w:t>25</w:t>
          </w:r>
          <w:r>
            <w:rPr>
              <w:rFonts w:hint="eastAsia"/>
              <w:color w:val="auto"/>
            </w:rPr>
            <w:fldChar w:fldCharType="end"/>
          </w:r>
          <w:r>
            <w:rPr>
              <w:rFonts w:hint="eastAsia"/>
              <w:color w:val="auto"/>
            </w:rPr>
            <w:fldChar w:fldCharType="end"/>
          </w:r>
        </w:p>
        <w:p w14:paraId="44DC4BF3">
          <w:pPr>
            <w:pStyle w:val="14"/>
            <w:tabs>
              <w:tab w:val="right" w:leader="dot" w:pos="8296"/>
            </w:tabs>
            <w:rPr>
              <w:rFonts w:hint="eastAsia" w:eastAsiaTheme="minorEastAsia"/>
              <w:color w:val="auto"/>
              <w:sz w:val="22"/>
            </w:rPr>
          </w:pPr>
          <w:r>
            <w:rPr>
              <w:color w:val="auto"/>
            </w:rPr>
            <w:fldChar w:fldCharType="begin"/>
          </w:r>
          <w:r>
            <w:rPr>
              <w:color w:val="auto"/>
            </w:rPr>
            <w:instrText xml:space="preserve"> HYPERLINK \l "_Toc230106855" </w:instrText>
          </w:r>
          <w:r>
            <w:rPr>
              <w:color w:val="auto"/>
            </w:rPr>
            <w:fldChar w:fldCharType="separate"/>
          </w:r>
          <w:r>
            <w:rPr>
              <w:rStyle w:val="21"/>
              <w:rFonts w:hint="eastAsia"/>
              <w:color w:val="auto"/>
              <w14:scene3d>
                <w14:lightRig w14:rig="threePt" w14:dir="t">
                  <w14:rot w14:lat="0" w14:lon="0" w14:rev="0"/>
                </w14:lightRig>
              </w14:scene3d>
              <w14:ligatures w14:val="none"/>
            </w:rPr>
            <w:t>第三章</w:t>
          </w:r>
          <w:r>
            <w:rPr>
              <w:rStyle w:val="21"/>
              <w:rFonts w:hint="eastAsia"/>
              <w:color w:val="auto"/>
            </w:rPr>
            <w:t xml:space="preserve"> 总体建设方案</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_Toc230106855 \h</w:instrText>
          </w:r>
          <w:r>
            <w:rPr>
              <w:rFonts w:hint="eastAsia"/>
              <w:color w:val="auto"/>
            </w:rPr>
            <w:instrText xml:space="preserve"> </w:instrText>
          </w:r>
          <w:r>
            <w:rPr>
              <w:rFonts w:hint="eastAsia"/>
              <w:color w:val="auto"/>
            </w:rPr>
            <w:fldChar w:fldCharType="separate"/>
          </w:r>
          <w:r>
            <w:rPr>
              <w:rFonts w:hint="eastAsia"/>
              <w:color w:val="auto"/>
            </w:rPr>
            <w:t>26</w:t>
          </w:r>
          <w:r>
            <w:rPr>
              <w:rFonts w:hint="eastAsia"/>
              <w:color w:val="auto"/>
            </w:rPr>
            <w:fldChar w:fldCharType="end"/>
          </w:r>
          <w:r>
            <w:rPr>
              <w:rFonts w:hint="eastAsia"/>
              <w:color w:val="auto"/>
            </w:rPr>
            <w:fldChar w:fldCharType="end"/>
          </w:r>
        </w:p>
        <w:p w14:paraId="525A7E05">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"_Toc230106856" </w:instrText>
          </w:r>
          <w:r>
            <w:rPr>
              <w:color w:val="auto"/>
            </w:rPr>
            <w:fldChar w:fldCharType="separate"/>
          </w:r>
          <w:r>
            <w:rPr>
              <w:rStyle w:val="21"/>
              <w:rFonts w:hint="eastAsia"/>
              <w:color w:val="auto"/>
            </w:rPr>
            <w:t>3.1 建设目标与内容</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_Toc230106856 \h</w:instrText>
          </w:r>
          <w:r>
            <w:rPr>
              <w:rFonts w:hint="eastAsia"/>
              <w:color w:val="auto"/>
            </w:rPr>
            <w:instrText xml:space="preserve"> </w:instrText>
          </w:r>
          <w:r>
            <w:rPr>
              <w:rFonts w:hint="eastAsia"/>
              <w:color w:val="auto"/>
            </w:rPr>
            <w:fldChar w:fldCharType="separate"/>
          </w:r>
          <w:r>
            <w:rPr>
              <w:rFonts w:hint="eastAsia"/>
              <w:color w:val="auto"/>
            </w:rPr>
            <w:t>26</w:t>
          </w:r>
          <w:r>
            <w:rPr>
              <w:rFonts w:hint="eastAsia"/>
              <w:color w:val="auto"/>
            </w:rPr>
            <w:fldChar w:fldCharType="end"/>
          </w:r>
          <w:r>
            <w:rPr>
              <w:rFonts w:hint="eastAsia"/>
              <w:color w:val="auto"/>
            </w:rPr>
            <w:fldChar w:fldCharType="end"/>
          </w:r>
        </w:p>
        <w:p w14:paraId="74A1705D">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"_Toc230106857" </w:instrText>
          </w:r>
          <w:r>
            <w:rPr>
              <w:color w:val="auto"/>
            </w:rPr>
            <w:fldChar w:fldCharType="separate"/>
          </w:r>
          <w:r>
            <w:rPr>
              <w:rStyle w:val="21"/>
              <w:rFonts w:hint="eastAsia"/>
              <w:color w:val="auto"/>
            </w:rPr>
            <w:t>3.1.1 建设目标</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_Toc230106857 \h</w:instrText>
          </w:r>
          <w:r>
            <w:rPr>
              <w:rFonts w:hint="eastAsia"/>
              <w:color w:val="auto"/>
            </w:rPr>
            <w:instrText xml:space="preserve"> </w:instrText>
          </w:r>
          <w:r>
            <w:rPr>
              <w:rFonts w:hint="eastAsia"/>
              <w:color w:val="auto"/>
            </w:rPr>
            <w:fldChar w:fldCharType="separate"/>
          </w:r>
          <w:r>
            <w:rPr>
              <w:rFonts w:hint="eastAsia"/>
              <w:color w:val="auto"/>
            </w:rPr>
            <w:t>26</w:t>
          </w:r>
          <w:r>
            <w:rPr>
              <w:rFonts w:hint="eastAsia"/>
              <w:color w:val="auto"/>
            </w:rPr>
            <w:fldChar w:fldCharType="end"/>
          </w:r>
          <w:r>
            <w:rPr>
              <w:rFonts w:hint="eastAsia"/>
              <w:color w:val="auto"/>
            </w:rPr>
            <w:fldChar w:fldCharType="end"/>
          </w:r>
        </w:p>
        <w:p w14:paraId="706084DC">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"_Toc230106858" </w:instrText>
          </w:r>
          <w:r>
            <w:rPr>
              <w:color w:val="auto"/>
            </w:rPr>
            <w:fldChar w:fldCharType="separate"/>
          </w:r>
          <w:r>
            <w:rPr>
              <w:rStyle w:val="21"/>
              <w:rFonts w:hint="eastAsia"/>
              <w:color w:val="auto"/>
            </w:rPr>
            <w:t>3.1.2 建设原则</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_Toc230106858 \h</w:instrText>
          </w:r>
          <w:r>
            <w:rPr>
              <w:rFonts w:hint="eastAsia"/>
              <w:color w:val="auto"/>
            </w:rPr>
            <w:instrText xml:space="preserve"> </w:instrText>
          </w:r>
          <w:r>
            <w:rPr>
              <w:rFonts w:hint="eastAsia"/>
              <w:color w:val="auto"/>
            </w:rPr>
            <w:fldChar w:fldCharType="separate"/>
          </w:r>
          <w:r>
            <w:rPr>
              <w:rFonts w:hint="eastAsia"/>
              <w:color w:val="auto"/>
            </w:rPr>
            <w:t>26</w:t>
          </w:r>
          <w:r>
            <w:rPr>
              <w:rFonts w:hint="eastAsia"/>
              <w:color w:val="auto"/>
            </w:rPr>
            <w:fldChar w:fldCharType="end"/>
          </w:r>
          <w:r>
            <w:rPr>
              <w:rFonts w:hint="eastAsia"/>
              <w:color w:val="auto"/>
            </w:rPr>
            <w:fldChar w:fldCharType="end"/>
          </w:r>
        </w:p>
        <w:p w14:paraId="41D5ED79">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"_Toc230106859" </w:instrText>
          </w:r>
          <w:r>
            <w:rPr>
              <w:color w:val="auto"/>
            </w:rPr>
            <w:fldChar w:fldCharType="separate"/>
          </w:r>
          <w:r>
            <w:rPr>
              <w:rStyle w:val="21"/>
              <w:rFonts w:hint="eastAsia"/>
              <w:color w:val="auto"/>
            </w:rPr>
            <w:t>3.1.3 建设内容</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_Toc230106859 \h</w:instrText>
          </w:r>
          <w:r>
            <w:rPr>
              <w:rFonts w:hint="eastAsia"/>
              <w:color w:val="auto"/>
            </w:rPr>
            <w:instrText xml:space="preserve"> </w:instrText>
          </w:r>
          <w:r>
            <w:rPr>
              <w:rFonts w:hint="eastAsia"/>
              <w:color w:val="auto"/>
            </w:rPr>
            <w:fldChar w:fldCharType="separate"/>
          </w:r>
          <w:r>
            <w:rPr>
              <w:rFonts w:hint="eastAsia"/>
              <w:color w:val="auto"/>
            </w:rPr>
            <w:t>27</w:t>
          </w:r>
          <w:r>
            <w:rPr>
              <w:rFonts w:hint="eastAsia"/>
              <w:color w:val="auto"/>
            </w:rPr>
            <w:fldChar w:fldCharType="end"/>
          </w:r>
          <w:r>
            <w:rPr>
              <w:rFonts w:hint="eastAsia"/>
              <w:color w:val="auto"/>
            </w:rPr>
            <w:fldChar w:fldCharType="end"/>
          </w:r>
        </w:p>
        <w:p w14:paraId="4704170B">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"_Toc230106860" </w:instrText>
          </w:r>
          <w:r>
            <w:rPr>
              <w:color w:val="auto"/>
            </w:rPr>
            <w:fldChar w:fldCharType="separate"/>
          </w:r>
          <w:r>
            <w:rPr>
              <w:rStyle w:val="21"/>
              <w:rFonts w:hint="eastAsia"/>
              <w:color w:val="auto"/>
            </w:rPr>
            <w:t>3.2 总体设计方案</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_Toc230106860 \h</w:instrText>
          </w:r>
          <w:r>
            <w:rPr>
              <w:rFonts w:hint="eastAsia"/>
              <w:color w:val="auto"/>
            </w:rPr>
            <w:instrText xml:space="preserve"> </w:instrText>
          </w:r>
          <w:r>
            <w:rPr>
              <w:rFonts w:hint="eastAsia"/>
              <w:color w:val="auto"/>
            </w:rPr>
            <w:fldChar w:fldCharType="separate"/>
          </w:r>
          <w:r>
            <w:rPr>
              <w:rFonts w:hint="eastAsia"/>
              <w:color w:val="auto"/>
            </w:rPr>
            <w:t>28</w:t>
          </w:r>
          <w:r>
            <w:rPr>
              <w:rFonts w:hint="eastAsia"/>
              <w:color w:val="auto"/>
            </w:rPr>
            <w:fldChar w:fldCharType="end"/>
          </w:r>
          <w:r>
            <w:rPr>
              <w:rFonts w:hint="eastAsia"/>
              <w:color w:val="auto"/>
            </w:rPr>
            <w:fldChar w:fldCharType="end"/>
          </w:r>
        </w:p>
        <w:p w14:paraId="02F4E3E8">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"_Toc230106861" </w:instrText>
          </w:r>
          <w:r>
            <w:rPr>
              <w:color w:val="auto"/>
            </w:rPr>
            <w:fldChar w:fldCharType="separate"/>
          </w:r>
          <w:r>
            <w:rPr>
              <w:rStyle w:val="21"/>
              <w:rFonts w:hint="eastAsia"/>
              <w:color w:val="auto"/>
            </w:rPr>
            <w:t>3.2.1 项目总体规划</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_Toc230106861 \h</w:instrText>
          </w:r>
          <w:r>
            <w:rPr>
              <w:rFonts w:hint="eastAsia"/>
              <w:color w:val="auto"/>
            </w:rPr>
            <w:instrText xml:space="preserve"> </w:instrText>
          </w:r>
          <w:r>
            <w:rPr>
              <w:rFonts w:hint="eastAsia"/>
              <w:color w:val="auto"/>
            </w:rPr>
            <w:fldChar w:fldCharType="separate"/>
          </w:r>
          <w:r>
            <w:rPr>
              <w:rFonts w:hint="eastAsia"/>
              <w:color w:val="auto"/>
            </w:rPr>
            <w:t>28</w:t>
          </w:r>
          <w:r>
            <w:rPr>
              <w:rFonts w:hint="eastAsia"/>
              <w:color w:val="auto"/>
            </w:rPr>
            <w:fldChar w:fldCharType="end"/>
          </w:r>
          <w:r>
            <w:rPr>
              <w:rFonts w:hint="eastAsia"/>
              <w:color w:val="auto"/>
            </w:rPr>
            <w:fldChar w:fldCharType="end"/>
          </w:r>
        </w:p>
        <w:p w14:paraId="07D7E5C5">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"_Toc230106862" </w:instrText>
          </w:r>
          <w:r>
            <w:rPr>
              <w:color w:val="auto"/>
            </w:rPr>
            <w:fldChar w:fldCharType="separate"/>
          </w:r>
          <w:r>
            <w:rPr>
              <w:rStyle w:val="21"/>
              <w:rFonts w:hint="eastAsia"/>
              <w:color w:val="auto"/>
            </w:rPr>
            <w:t>3.2.2 设计原则</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_Toc230106862 \h</w:instrText>
          </w:r>
          <w:r>
            <w:rPr>
              <w:rFonts w:hint="eastAsia"/>
              <w:color w:val="auto"/>
            </w:rPr>
            <w:instrText xml:space="preserve"> </w:instrText>
          </w:r>
          <w:r>
            <w:rPr>
              <w:rFonts w:hint="eastAsia"/>
              <w:color w:val="auto"/>
            </w:rPr>
            <w:fldChar w:fldCharType="separate"/>
          </w:r>
          <w:r>
            <w:rPr>
              <w:rFonts w:hint="eastAsia"/>
              <w:color w:val="auto"/>
            </w:rPr>
            <w:t>29</w:t>
          </w:r>
          <w:r>
            <w:rPr>
              <w:rFonts w:hint="eastAsia"/>
              <w:color w:val="auto"/>
            </w:rPr>
            <w:fldChar w:fldCharType="end"/>
          </w:r>
          <w:r>
            <w:rPr>
              <w:rFonts w:hint="eastAsia"/>
              <w:color w:val="auto"/>
            </w:rPr>
            <w:fldChar w:fldCharType="end"/>
          </w:r>
        </w:p>
        <w:p w14:paraId="009669AD">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"_Toc230106863" </w:instrText>
          </w:r>
          <w:r>
            <w:rPr>
              <w:color w:val="auto"/>
            </w:rPr>
            <w:fldChar w:fldCharType="separate"/>
          </w:r>
          <w:r>
            <w:rPr>
              <w:rStyle w:val="21"/>
              <w:rFonts w:hint="eastAsia"/>
              <w:color w:val="auto"/>
            </w:rPr>
            <w:t>3.2.3 设计依据</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_Toc230106863 \h</w:instrText>
          </w:r>
          <w:r>
            <w:rPr>
              <w:rFonts w:hint="eastAsia"/>
              <w:color w:val="auto"/>
            </w:rPr>
            <w:instrText xml:space="preserve"> </w:instrText>
          </w:r>
          <w:r>
            <w:rPr>
              <w:rFonts w:hint="eastAsia"/>
              <w:color w:val="auto"/>
            </w:rPr>
            <w:fldChar w:fldCharType="separate"/>
          </w:r>
          <w:r>
            <w:rPr>
              <w:rFonts w:hint="eastAsia"/>
              <w:color w:val="auto"/>
            </w:rPr>
            <w:t>29</w:t>
          </w:r>
          <w:r>
            <w:rPr>
              <w:rFonts w:hint="eastAsia"/>
              <w:color w:val="auto"/>
            </w:rPr>
            <w:fldChar w:fldCharType="end"/>
          </w:r>
          <w:r>
            <w:rPr>
              <w:rFonts w:hint="eastAsia"/>
              <w:color w:val="auto"/>
            </w:rPr>
            <w:fldChar w:fldCharType="end"/>
          </w:r>
        </w:p>
        <w:p w14:paraId="2560B14F">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"_Toc230106864" </w:instrText>
          </w:r>
          <w:r>
            <w:rPr>
              <w:color w:val="auto"/>
            </w:rPr>
            <w:fldChar w:fldCharType="separate"/>
          </w:r>
          <w:r>
            <w:rPr>
              <w:rStyle w:val="21"/>
              <w:rFonts w:hint="eastAsia"/>
              <w:color w:val="auto"/>
            </w:rPr>
            <w:t>3.2.4 技术路线</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_Toc230106864 \h</w:instrText>
          </w:r>
          <w:r>
            <w:rPr>
              <w:rFonts w:hint="eastAsia"/>
              <w:color w:val="auto"/>
            </w:rPr>
            <w:instrText xml:space="preserve"> </w:instrText>
          </w:r>
          <w:r>
            <w:rPr>
              <w:rFonts w:hint="eastAsia"/>
              <w:color w:val="auto"/>
            </w:rPr>
            <w:fldChar w:fldCharType="separate"/>
          </w:r>
          <w:r>
            <w:rPr>
              <w:rFonts w:hint="eastAsia"/>
              <w:color w:val="auto"/>
            </w:rPr>
            <w:t>31</w:t>
          </w:r>
          <w:r>
            <w:rPr>
              <w:rFonts w:hint="eastAsia"/>
              <w:color w:val="auto"/>
            </w:rPr>
            <w:fldChar w:fldCharType="end"/>
          </w:r>
          <w:r>
            <w:rPr>
              <w:rFonts w:hint="eastAsia"/>
              <w:color w:val="auto"/>
            </w:rPr>
            <w:fldChar w:fldCharType="end"/>
          </w:r>
        </w:p>
        <w:p w14:paraId="097EF960">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"_Toc230106865" </w:instrText>
          </w:r>
          <w:r>
            <w:rPr>
              <w:color w:val="auto"/>
            </w:rPr>
            <w:fldChar w:fldCharType="separate"/>
          </w:r>
          <w:r>
            <w:rPr>
              <w:rStyle w:val="21"/>
              <w:rFonts w:hint="eastAsia"/>
              <w:color w:val="auto"/>
            </w:rPr>
            <w:t>3.2.5 关键技术</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_Toc230106865 \h</w:instrText>
          </w:r>
          <w:r>
            <w:rPr>
              <w:rFonts w:hint="eastAsia"/>
              <w:color w:val="auto"/>
            </w:rPr>
            <w:instrText xml:space="preserve"> </w:instrText>
          </w:r>
          <w:r>
            <w:rPr>
              <w:rFonts w:hint="eastAsia"/>
              <w:color w:val="auto"/>
            </w:rPr>
            <w:fldChar w:fldCharType="separate"/>
          </w:r>
          <w:r>
            <w:rPr>
              <w:rFonts w:hint="eastAsia"/>
              <w:color w:val="auto"/>
            </w:rPr>
            <w:t>31</w:t>
          </w:r>
          <w:r>
            <w:rPr>
              <w:rFonts w:hint="eastAsia"/>
              <w:color w:val="auto"/>
            </w:rPr>
            <w:fldChar w:fldCharType="end"/>
          </w:r>
          <w:r>
            <w:rPr>
              <w:rFonts w:hint="eastAsia"/>
              <w:color w:val="auto"/>
            </w:rPr>
            <w:fldChar w:fldCharType="end"/>
          </w:r>
        </w:p>
        <w:p w14:paraId="67318F82">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"_Toc230106866" </w:instrText>
          </w:r>
          <w:r>
            <w:rPr>
              <w:color w:val="auto"/>
            </w:rPr>
            <w:fldChar w:fldCharType="separate"/>
          </w:r>
          <w:r>
            <w:rPr>
              <w:rStyle w:val="21"/>
              <w:rFonts w:hint="eastAsia"/>
              <w:color w:val="auto"/>
            </w:rPr>
            <w:t>3.2.6 性能设计</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_Toc230106866 \h</w:instrText>
          </w:r>
          <w:r>
            <w:rPr>
              <w:rFonts w:hint="eastAsia"/>
              <w:color w:val="auto"/>
            </w:rPr>
            <w:instrText xml:space="preserve"> </w:instrText>
          </w:r>
          <w:r>
            <w:rPr>
              <w:rFonts w:hint="eastAsia"/>
              <w:color w:val="auto"/>
            </w:rPr>
            <w:fldChar w:fldCharType="separate"/>
          </w:r>
          <w:r>
            <w:rPr>
              <w:rFonts w:hint="eastAsia"/>
              <w:color w:val="auto"/>
            </w:rPr>
            <w:t>31</w:t>
          </w:r>
          <w:r>
            <w:rPr>
              <w:rFonts w:hint="eastAsia"/>
              <w:color w:val="auto"/>
            </w:rPr>
            <w:fldChar w:fldCharType="end"/>
          </w:r>
          <w:r>
            <w:rPr>
              <w:rFonts w:hint="eastAsia"/>
              <w:color w:val="auto"/>
            </w:rPr>
            <w:fldChar w:fldCharType="end"/>
          </w:r>
        </w:p>
        <w:p w14:paraId="735B5630">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"_Toc230106867" </w:instrText>
          </w:r>
          <w:r>
            <w:rPr>
              <w:color w:val="auto"/>
            </w:rPr>
            <w:fldChar w:fldCharType="separate"/>
          </w:r>
          <w:r>
            <w:rPr>
              <w:rStyle w:val="21"/>
              <w:rFonts w:hint="eastAsia"/>
              <w:color w:val="auto"/>
            </w:rPr>
            <w:t>3.2.7 安全设计</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_Toc230106867 \h</w:instrText>
          </w:r>
          <w:r>
            <w:rPr>
              <w:rFonts w:hint="eastAsia"/>
              <w:color w:val="auto"/>
            </w:rPr>
            <w:instrText xml:space="preserve"> </w:instrText>
          </w:r>
          <w:r>
            <w:rPr>
              <w:rFonts w:hint="eastAsia"/>
              <w:color w:val="auto"/>
            </w:rPr>
            <w:fldChar w:fldCharType="separate"/>
          </w:r>
          <w:r>
            <w:rPr>
              <w:rFonts w:hint="eastAsia"/>
              <w:color w:val="auto"/>
            </w:rPr>
            <w:t>31</w:t>
          </w:r>
          <w:r>
            <w:rPr>
              <w:rFonts w:hint="eastAsia"/>
              <w:color w:val="auto"/>
            </w:rPr>
            <w:fldChar w:fldCharType="end"/>
          </w:r>
          <w:r>
            <w:rPr>
              <w:rFonts w:hint="eastAsia"/>
              <w:color w:val="auto"/>
            </w:rPr>
            <w:fldChar w:fldCharType="end"/>
          </w:r>
        </w:p>
        <w:p w14:paraId="12065D6F">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"_Toc230106868" </w:instrText>
          </w:r>
          <w:r>
            <w:rPr>
              <w:color w:val="auto"/>
            </w:rPr>
            <w:fldChar w:fldCharType="separate"/>
          </w:r>
          <w:r>
            <w:rPr>
              <w:rStyle w:val="21"/>
              <w:rFonts w:hint="eastAsia"/>
              <w:color w:val="auto"/>
            </w:rPr>
            <w:t>3.3 总体架构设计</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_Toc230106868 \h</w:instrText>
          </w:r>
          <w:r>
            <w:rPr>
              <w:rFonts w:hint="eastAsia"/>
              <w:color w:val="auto"/>
            </w:rPr>
            <w:instrText xml:space="preserve"> </w:instrText>
          </w:r>
          <w:r>
            <w:rPr>
              <w:rFonts w:hint="eastAsia"/>
              <w:color w:val="auto"/>
            </w:rPr>
            <w:fldChar w:fldCharType="separate"/>
          </w:r>
          <w:r>
            <w:rPr>
              <w:rFonts w:hint="eastAsia"/>
              <w:color w:val="auto"/>
            </w:rPr>
            <w:t>34</w:t>
          </w:r>
          <w:r>
            <w:rPr>
              <w:rFonts w:hint="eastAsia"/>
              <w:color w:val="auto"/>
            </w:rPr>
            <w:fldChar w:fldCharType="end"/>
          </w:r>
          <w:r>
            <w:rPr>
              <w:rFonts w:hint="eastAsia"/>
              <w:color w:val="auto"/>
            </w:rPr>
            <w:fldChar w:fldCharType="end"/>
          </w:r>
        </w:p>
        <w:p w14:paraId="193B37AE">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"_Toc230106869" </w:instrText>
          </w:r>
          <w:r>
            <w:rPr>
              <w:color w:val="auto"/>
            </w:rPr>
            <w:fldChar w:fldCharType="separate"/>
          </w:r>
          <w:r>
            <w:rPr>
              <w:rStyle w:val="21"/>
              <w:rFonts w:hint="eastAsia"/>
              <w:color w:val="auto"/>
            </w:rPr>
            <w:t>3.3.1 系统架构</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_Toc230106869 \h</w:instrText>
          </w:r>
          <w:r>
            <w:rPr>
              <w:rFonts w:hint="eastAsia"/>
              <w:color w:val="auto"/>
            </w:rPr>
            <w:instrText xml:space="preserve"> </w:instrText>
          </w:r>
          <w:r>
            <w:rPr>
              <w:rFonts w:hint="eastAsia"/>
              <w:color w:val="auto"/>
            </w:rPr>
            <w:fldChar w:fldCharType="separate"/>
          </w:r>
          <w:r>
            <w:rPr>
              <w:rFonts w:hint="eastAsia"/>
              <w:color w:val="auto"/>
            </w:rPr>
            <w:t>34</w:t>
          </w:r>
          <w:r>
            <w:rPr>
              <w:rFonts w:hint="eastAsia"/>
              <w:color w:val="auto"/>
            </w:rPr>
            <w:fldChar w:fldCharType="end"/>
          </w:r>
          <w:r>
            <w:rPr>
              <w:rFonts w:hint="eastAsia"/>
              <w:color w:val="auto"/>
            </w:rPr>
            <w:fldChar w:fldCharType="end"/>
          </w:r>
        </w:p>
        <w:p w14:paraId="0FD3C536">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"_Toc230106870" </w:instrText>
          </w:r>
          <w:r>
            <w:rPr>
              <w:color w:val="auto"/>
            </w:rPr>
            <w:fldChar w:fldCharType="separate"/>
          </w:r>
          <w:r>
            <w:rPr>
              <w:rStyle w:val="21"/>
              <w:rFonts w:hint="eastAsia"/>
              <w:color w:val="auto"/>
            </w:rPr>
            <w:t>3.3.2 功能架构</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_Toc230106870 \h</w:instrText>
          </w:r>
          <w:r>
            <w:rPr>
              <w:rFonts w:hint="eastAsia"/>
              <w:color w:val="auto"/>
            </w:rPr>
            <w:instrText xml:space="preserve"> </w:instrText>
          </w:r>
          <w:r>
            <w:rPr>
              <w:rFonts w:hint="eastAsia"/>
              <w:color w:val="auto"/>
            </w:rPr>
            <w:fldChar w:fldCharType="separate"/>
          </w:r>
          <w:r>
            <w:rPr>
              <w:rFonts w:hint="eastAsia"/>
              <w:color w:val="auto"/>
            </w:rPr>
            <w:t>35</w:t>
          </w:r>
          <w:r>
            <w:rPr>
              <w:rFonts w:hint="eastAsia"/>
              <w:color w:val="auto"/>
            </w:rPr>
            <w:fldChar w:fldCharType="end"/>
          </w:r>
          <w:r>
            <w:rPr>
              <w:rFonts w:hint="eastAsia"/>
              <w:color w:val="auto"/>
            </w:rPr>
            <w:fldChar w:fldCharType="end"/>
          </w:r>
        </w:p>
        <w:p w14:paraId="4A416888">
          <w:pPr>
            <w:pStyle w:val="14"/>
            <w:tabs>
              <w:tab w:val="right" w:leader="dot" w:pos="8296"/>
            </w:tabs>
            <w:rPr>
              <w:rFonts w:hint="eastAsia" w:eastAsiaTheme="minorEastAsia"/>
              <w:color w:val="auto"/>
              <w:sz w:val="22"/>
            </w:rPr>
          </w:pPr>
          <w:r>
            <w:rPr>
              <w:color w:val="auto"/>
            </w:rPr>
            <w:fldChar w:fldCharType="begin"/>
          </w:r>
          <w:r>
            <w:rPr>
              <w:color w:val="auto"/>
            </w:rPr>
            <w:instrText xml:space="preserve"> HYPERLINK \l "_Toc230106871" </w:instrText>
          </w:r>
          <w:r>
            <w:rPr>
              <w:color w:val="auto"/>
            </w:rPr>
            <w:fldChar w:fldCharType="separate"/>
          </w:r>
          <w:r>
            <w:rPr>
              <w:rStyle w:val="21"/>
              <w:rFonts w:hint="eastAsia"/>
              <w:color w:val="auto"/>
              <w14:scene3d>
                <w14:lightRig w14:rig="threePt" w14:dir="t">
                  <w14:rot w14:lat="0" w14:lon="0" w14:rev="0"/>
                </w14:lightRig>
              </w14:scene3d>
              <w14:ligatures w14:val="none"/>
            </w:rPr>
            <w:t>第四章</w:t>
          </w:r>
          <w:r>
            <w:rPr>
              <w:rStyle w:val="21"/>
              <w:rFonts w:hint="eastAsia"/>
              <w:color w:val="auto"/>
            </w:rPr>
            <w:t xml:space="preserve"> 详细建设方案</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_Toc230106871 \h</w:instrText>
          </w:r>
          <w:r>
            <w:rPr>
              <w:rFonts w:hint="eastAsia"/>
              <w:color w:val="auto"/>
            </w:rPr>
            <w:instrText xml:space="preserve"> </w:instrText>
          </w:r>
          <w:r>
            <w:rPr>
              <w:rFonts w:hint="eastAsia"/>
              <w:color w:val="auto"/>
            </w:rPr>
            <w:fldChar w:fldCharType="separate"/>
          </w:r>
          <w:r>
            <w:rPr>
              <w:rFonts w:hint="eastAsia"/>
              <w:color w:val="auto"/>
            </w:rPr>
            <w:t>37</w:t>
          </w:r>
          <w:r>
            <w:rPr>
              <w:rFonts w:hint="eastAsia"/>
              <w:color w:val="auto"/>
            </w:rPr>
            <w:fldChar w:fldCharType="end"/>
          </w:r>
          <w:r>
            <w:rPr>
              <w:rFonts w:hint="eastAsia"/>
              <w:color w:val="auto"/>
            </w:rPr>
            <w:fldChar w:fldCharType="end"/>
          </w:r>
        </w:p>
        <w:p w14:paraId="4A5400EC">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"_Toc230106872" </w:instrText>
          </w:r>
          <w:r>
            <w:rPr>
              <w:color w:val="auto"/>
            </w:rPr>
            <w:fldChar w:fldCharType="separate"/>
          </w:r>
          <w:r>
            <w:rPr>
              <w:rStyle w:val="21"/>
              <w:rFonts w:hint="eastAsia"/>
              <w:color w:val="auto"/>
            </w:rPr>
            <w:t>4.1 总体实施计划</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_Toc230106872 \h</w:instrText>
          </w:r>
          <w:r>
            <w:rPr>
              <w:rFonts w:hint="eastAsia"/>
              <w:color w:val="auto"/>
            </w:rPr>
            <w:instrText xml:space="preserve"> </w:instrText>
          </w:r>
          <w:r>
            <w:rPr>
              <w:rFonts w:hint="eastAsia"/>
              <w:color w:val="auto"/>
            </w:rPr>
            <w:fldChar w:fldCharType="separate"/>
          </w:r>
          <w:r>
            <w:rPr>
              <w:rFonts w:hint="eastAsia"/>
              <w:color w:val="auto"/>
            </w:rPr>
            <w:t>37</w:t>
          </w:r>
          <w:r>
            <w:rPr>
              <w:rFonts w:hint="eastAsia"/>
              <w:color w:val="auto"/>
            </w:rPr>
            <w:fldChar w:fldCharType="end"/>
          </w:r>
          <w:r>
            <w:rPr>
              <w:rFonts w:hint="eastAsia"/>
              <w:color w:val="auto"/>
            </w:rPr>
            <w:fldChar w:fldCharType="end"/>
          </w:r>
        </w:p>
        <w:p w14:paraId="13B43D92">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"_Toc230106873" </w:instrText>
          </w:r>
          <w:r>
            <w:rPr>
              <w:color w:val="auto"/>
            </w:rPr>
            <w:fldChar w:fldCharType="separate"/>
          </w:r>
          <w:r>
            <w:rPr>
              <w:rStyle w:val="21"/>
              <w:rFonts w:hint="eastAsia"/>
              <w:color w:val="auto"/>
            </w:rPr>
            <w:t>4.1.1 实施计划</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_Toc230106873 \h</w:instrText>
          </w:r>
          <w:r>
            <w:rPr>
              <w:rFonts w:hint="eastAsia"/>
              <w:color w:val="auto"/>
            </w:rPr>
            <w:instrText xml:space="preserve"> </w:instrText>
          </w:r>
          <w:r>
            <w:rPr>
              <w:rFonts w:hint="eastAsia"/>
              <w:color w:val="auto"/>
            </w:rPr>
            <w:fldChar w:fldCharType="separate"/>
          </w:r>
          <w:r>
            <w:rPr>
              <w:rFonts w:hint="eastAsia"/>
              <w:color w:val="auto"/>
            </w:rPr>
            <w:t>37</w:t>
          </w:r>
          <w:r>
            <w:rPr>
              <w:rFonts w:hint="eastAsia"/>
              <w:color w:val="auto"/>
            </w:rPr>
            <w:fldChar w:fldCharType="end"/>
          </w:r>
          <w:r>
            <w:rPr>
              <w:rFonts w:hint="eastAsia"/>
              <w:color w:val="auto"/>
            </w:rPr>
            <w:fldChar w:fldCharType="end"/>
          </w:r>
        </w:p>
        <w:p w14:paraId="04AAC9BB">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"_Toc230106874" </w:instrText>
          </w:r>
          <w:r>
            <w:rPr>
              <w:color w:val="auto"/>
            </w:rPr>
            <w:fldChar w:fldCharType="separate"/>
          </w:r>
          <w:r>
            <w:rPr>
              <w:rStyle w:val="21"/>
              <w:rFonts w:hint="eastAsia"/>
              <w:color w:val="auto"/>
            </w:rPr>
            <w:t>4.1.2 实施方案</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_Toc230106874 \h</w:instrText>
          </w:r>
          <w:r>
            <w:rPr>
              <w:rFonts w:hint="eastAsia"/>
              <w:color w:val="auto"/>
            </w:rPr>
            <w:instrText xml:space="preserve"> </w:instrText>
          </w:r>
          <w:r>
            <w:rPr>
              <w:rFonts w:hint="eastAsia"/>
              <w:color w:val="auto"/>
            </w:rPr>
            <w:fldChar w:fldCharType="separate"/>
          </w:r>
          <w:r>
            <w:rPr>
              <w:rFonts w:hint="eastAsia"/>
              <w:color w:val="auto"/>
            </w:rPr>
            <w:t>41</w:t>
          </w:r>
          <w:r>
            <w:rPr>
              <w:rFonts w:hint="eastAsia"/>
              <w:color w:val="auto"/>
            </w:rPr>
            <w:fldChar w:fldCharType="end"/>
          </w:r>
          <w:r>
            <w:rPr>
              <w:rFonts w:hint="eastAsia"/>
              <w:color w:val="auto"/>
            </w:rPr>
            <w:fldChar w:fldCharType="end"/>
          </w:r>
        </w:p>
        <w:p w14:paraId="2709CD8C">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"_Toc230106875" </w:instrText>
          </w:r>
          <w:r>
            <w:rPr>
              <w:color w:val="auto"/>
            </w:rPr>
            <w:fldChar w:fldCharType="separate"/>
          </w:r>
          <w:r>
            <w:rPr>
              <w:rStyle w:val="21"/>
              <w:rFonts w:hint="eastAsia"/>
              <w:color w:val="auto"/>
            </w:rPr>
            <w:t>4.2 参考方案比选</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_Toc230106875 \h</w:instrText>
          </w:r>
          <w:r>
            <w:rPr>
              <w:rFonts w:hint="eastAsia"/>
              <w:color w:val="auto"/>
            </w:rPr>
            <w:instrText xml:space="preserve"> </w:instrText>
          </w:r>
          <w:r>
            <w:rPr>
              <w:rFonts w:hint="eastAsia"/>
              <w:color w:val="auto"/>
            </w:rPr>
            <w:fldChar w:fldCharType="separate"/>
          </w:r>
          <w:r>
            <w:rPr>
              <w:rFonts w:hint="eastAsia"/>
              <w:color w:val="auto"/>
            </w:rPr>
            <w:t>55</w:t>
          </w:r>
          <w:r>
            <w:rPr>
              <w:rFonts w:hint="eastAsia"/>
              <w:color w:val="auto"/>
            </w:rPr>
            <w:fldChar w:fldCharType="end"/>
          </w:r>
          <w:r>
            <w:rPr>
              <w:rFonts w:hint="eastAsia"/>
              <w:color w:val="auto"/>
            </w:rPr>
            <w:fldChar w:fldCharType="end"/>
          </w:r>
        </w:p>
        <w:p w14:paraId="3E1F39B1">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"_Toc230106876" </w:instrText>
          </w:r>
          <w:r>
            <w:rPr>
              <w:color w:val="auto"/>
            </w:rPr>
            <w:fldChar w:fldCharType="separate"/>
          </w:r>
          <w:r>
            <w:rPr>
              <w:rStyle w:val="21"/>
              <w:rFonts w:hint="eastAsia"/>
              <w:color w:val="auto"/>
            </w:rPr>
            <w:t>4.2.1 某省会城市政务大数据平台升级</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_Toc230106876 \h</w:instrText>
          </w:r>
          <w:r>
            <w:rPr>
              <w:rFonts w:hint="eastAsia"/>
              <w:color w:val="auto"/>
            </w:rPr>
            <w:instrText xml:space="preserve"> </w:instrText>
          </w:r>
          <w:r>
            <w:rPr>
              <w:rFonts w:hint="eastAsia"/>
              <w:color w:val="auto"/>
            </w:rPr>
            <w:fldChar w:fldCharType="separate"/>
          </w:r>
          <w:r>
            <w:rPr>
              <w:rFonts w:hint="eastAsia"/>
              <w:color w:val="auto"/>
            </w:rPr>
            <w:t>55</w:t>
          </w:r>
          <w:r>
            <w:rPr>
              <w:rFonts w:hint="eastAsia"/>
              <w:color w:val="auto"/>
            </w:rPr>
            <w:fldChar w:fldCharType="end"/>
          </w:r>
          <w:r>
            <w:rPr>
              <w:rFonts w:hint="eastAsia"/>
              <w:color w:val="auto"/>
            </w:rPr>
            <w:fldChar w:fldCharType="end"/>
          </w:r>
        </w:p>
        <w:p w14:paraId="4EF5203B">
          <w:pPr>
            <w:pStyle w:val="11"/>
            <w:tabs>
              <w:tab w:val="right" w:leader="dot" w:pos="8296"/>
            </w:tabs>
            <w:ind w:left="960"/>
            <w:rPr>
              <w:rFonts w:hint="eastAsia" w:eastAsiaTheme="minorEastAsia"/>
              <w:color w:val="auto"/>
              <w:sz w:val="22"/>
            </w:rPr>
          </w:pPr>
          <w:r>
            <w:rPr>
              <w:color w:val="auto"/>
            </w:rPr>
            <w:fldChar w:fldCharType="begin"/>
          </w:r>
          <w:r>
            <w:rPr>
              <w:color w:val="auto"/>
            </w:rPr>
            <w:instrText xml:space="preserve"> HYPERLINK \l "_Toc230106877" </w:instrText>
          </w:r>
          <w:r>
            <w:rPr>
              <w:color w:val="auto"/>
            </w:rPr>
            <w:fldChar w:fldCharType="separate"/>
          </w:r>
          <w:r>
            <w:rPr>
              <w:rStyle w:val="21"/>
              <w:rFonts w:hint="eastAsia"/>
              <w:color w:val="auto"/>
            </w:rPr>
            <w:t>4.2.2 某地级市政务数据平台升级</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_Toc230106877 \h</w:instrText>
          </w:r>
          <w:r>
            <w:rPr>
              <w:rFonts w:hint="eastAsia"/>
              <w:color w:val="auto"/>
            </w:rPr>
            <w:instrText xml:space="preserve"> </w:instrText>
          </w:r>
          <w:r>
            <w:rPr>
              <w:rFonts w:hint="eastAsia"/>
              <w:color w:val="auto"/>
            </w:rPr>
            <w:fldChar w:fldCharType="separate"/>
          </w:r>
          <w:r>
            <w:rPr>
              <w:rFonts w:hint="eastAsia"/>
              <w:color w:val="auto"/>
            </w:rPr>
            <w:t>55</w:t>
          </w:r>
          <w:r>
            <w:rPr>
              <w:rFonts w:hint="eastAsia"/>
              <w:color w:val="auto"/>
            </w:rPr>
            <w:fldChar w:fldCharType="end"/>
          </w:r>
          <w:r>
            <w:rPr>
              <w:rFonts w:hint="eastAsia"/>
              <w:color w:val="auto"/>
            </w:rPr>
            <w:fldChar w:fldCharType="end"/>
          </w:r>
        </w:p>
        <w:p w14:paraId="2CE2449C">
          <w:pPr>
            <w:pStyle w:val="14"/>
            <w:tabs>
              <w:tab w:val="right" w:leader="dot" w:pos="8296"/>
            </w:tabs>
            <w:rPr>
              <w:rFonts w:hint="eastAsia" w:eastAsiaTheme="minorEastAsia"/>
              <w:color w:val="auto"/>
              <w:sz w:val="22"/>
            </w:rPr>
          </w:pPr>
          <w:r>
            <w:rPr>
              <w:color w:val="auto"/>
            </w:rPr>
            <w:fldChar w:fldCharType="begin"/>
          </w:r>
          <w:r>
            <w:rPr>
              <w:color w:val="auto"/>
            </w:rPr>
            <w:instrText xml:space="preserve"> HYPERLINK \l "_Toc230106878" </w:instrText>
          </w:r>
          <w:r>
            <w:rPr>
              <w:color w:val="auto"/>
            </w:rPr>
            <w:fldChar w:fldCharType="separate"/>
          </w:r>
          <w:r>
            <w:rPr>
              <w:rStyle w:val="21"/>
              <w:rFonts w:hint="eastAsia"/>
              <w:color w:val="auto"/>
              <w14:scene3d>
                <w14:lightRig w14:rig="threePt" w14:dir="t">
                  <w14:rot w14:lat="0" w14:lon="0" w14:rev="0"/>
                </w14:lightRig>
              </w14:scene3d>
              <w14:ligatures w14:val="none"/>
            </w:rPr>
            <w:t>第五章</w:t>
          </w:r>
          <w:r>
            <w:rPr>
              <w:rStyle w:val="21"/>
              <w:rFonts w:hint="eastAsia"/>
              <w:color w:val="auto"/>
            </w:rPr>
            <w:t xml:space="preserve"> 考核指标及效益分析</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_Toc230106878 \h</w:instrText>
          </w:r>
          <w:r>
            <w:rPr>
              <w:rFonts w:hint="eastAsia"/>
              <w:color w:val="auto"/>
            </w:rPr>
            <w:instrText xml:space="preserve"> </w:instrText>
          </w:r>
          <w:r>
            <w:rPr>
              <w:rFonts w:hint="eastAsia"/>
              <w:color w:val="auto"/>
            </w:rPr>
            <w:fldChar w:fldCharType="separate"/>
          </w:r>
          <w:r>
            <w:rPr>
              <w:rFonts w:hint="eastAsia"/>
              <w:color w:val="auto"/>
            </w:rPr>
            <w:t>56</w:t>
          </w:r>
          <w:r>
            <w:rPr>
              <w:rFonts w:hint="eastAsia"/>
              <w:color w:val="auto"/>
            </w:rPr>
            <w:fldChar w:fldCharType="end"/>
          </w:r>
          <w:r>
            <w:rPr>
              <w:rFonts w:hint="eastAsia"/>
              <w:color w:val="auto"/>
            </w:rPr>
            <w:fldChar w:fldCharType="end"/>
          </w:r>
        </w:p>
        <w:p w14:paraId="7F6EF1F4">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"_Toc230106879" </w:instrText>
          </w:r>
          <w:r>
            <w:rPr>
              <w:color w:val="auto"/>
            </w:rPr>
            <w:fldChar w:fldCharType="separate"/>
          </w:r>
          <w:r>
            <w:rPr>
              <w:rStyle w:val="21"/>
              <w:rFonts w:hint="eastAsia"/>
              <w:color w:val="auto"/>
            </w:rPr>
            <w:t>5.1 技术成果</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_Toc230106879 \h</w:instrText>
          </w:r>
          <w:r>
            <w:rPr>
              <w:rFonts w:hint="eastAsia"/>
              <w:color w:val="auto"/>
            </w:rPr>
            <w:instrText xml:space="preserve"> </w:instrText>
          </w:r>
          <w:r>
            <w:rPr>
              <w:rFonts w:hint="eastAsia"/>
              <w:color w:val="auto"/>
            </w:rPr>
            <w:fldChar w:fldCharType="separate"/>
          </w:r>
          <w:r>
            <w:rPr>
              <w:rFonts w:hint="eastAsia"/>
              <w:color w:val="auto"/>
            </w:rPr>
            <w:t>56</w:t>
          </w:r>
          <w:r>
            <w:rPr>
              <w:rFonts w:hint="eastAsia"/>
              <w:color w:val="auto"/>
            </w:rPr>
            <w:fldChar w:fldCharType="end"/>
          </w:r>
          <w:r>
            <w:rPr>
              <w:rFonts w:hint="eastAsia"/>
              <w:color w:val="auto"/>
            </w:rPr>
            <w:fldChar w:fldCharType="end"/>
          </w:r>
        </w:p>
        <w:p w14:paraId="5E452350">
          <w:pPr>
            <w:pStyle w:val="16"/>
            <w:tabs>
              <w:tab w:val="right" w:leader="dot" w:pos="8296"/>
            </w:tabs>
            <w:ind w:left="480"/>
            <w:rPr>
              <w:rFonts w:hint="eastAsia" w:eastAsiaTheme="minorEastAsia"/>
              <w:color w:val="auto"/>
              <w:sz w:val="22"/>
            </w:rPr>
          </w:pPr>
          <w:r>
            <w:rPr>
              <w:color w:val="auto"/>
            </w:rPr>
            <w:fldChar w:fldCharType="begin"/>
          </w:r>
          <w:r>
            <w:rPr>
              <w:color w:val="auto"/>
            </w:rPr>
            <w:instrText xml:space="preserve"> HYPERLINK \l "_Toc230106880" </w:instrText>
          </w:r>
          <w:r>
            <w:rPr>
              <w:color w:val="auto"/>
            </w:rPr>
            <w:fldChar w:fldCharType="separate"/>
          </w:r>
          <w:r>
            <w:rPr>
              <w:rStyle w:val="21"/>
              <w:rFonts w:hint="eastAsia"/>
              <w:color w:val="auto"/>
            </w:rPr>
            <w:t>5.2 管理成果</w:t>
          </w:r>
          <w:r>
            <w:rPr>
              <w:rFonts w:hint="eastAsia"/>
              <w:color w:val="auto"/>
            </w:rPr>
            <w:tab/>
          </w:r>
          <w:r>
            <w:rPr>
              <w:rFonts w:hint="eastAsia"/>
              <w:color w:val="auto"/>
            </w:rPr>
            <w:fldChar w:fldCharType="begin"/>
          </w:r>
          <w:r>
            <w:rPr>
              <w:rFonts w:hint="eastAsia"/>
              <w:color w:val="auto"/>
            </w:rPr>
            <w:instrText xml:space="preserve"> </w:instrText>
          </w:r>
          <w:r>
            <w:rPr>
              <w:color w:val="auto"/>
            </w:rPr>
            <w:instrText xml:space="preserve">PAGEREF _Toc230106880 \h</w:instrText>
          </w:r>
          <w:r>
            <w:rPr>
              <w:rFonts w:hint="eastAsia"/>
              <w:color w:val="auto"/>
            </w:rPr>
            <w:instrText xml:space="preserve"> </w:instrText>
          </w:r>
          <w:r>
            <w:rPr>
              <w:rFonts w:hint="eastAsia"/>
              <w:color w:val="auto"/>
            </w:rPr>
            <w:fldChar w:fldCharType="separate"/>
          </w:r>
          <w:r>
            <w:rPr>
              <w:rFonts w:hint="eastAsia"/>
              <w:color w:val="auto"/>
            </w:rPr>
            <w:t>56</w:t>
          </w:r>
          <w:r>
            <w:rPr>
              <w:rFonts w:hint="eastAsia"/>
              <w:color w:val="auto"/>
            </w:rPr>
            <w:fldChar w:fldCharType="end"/>
          </w:r>
          <w:r>
            <w:rPr>
              <w:rFonts w:hint="eastAsia"/>
              <w:color w:val="auto"/>
            </w:rPr>
            <w:fldChar w:fldCharType="end"/>
          </w:r>
        </w:p>
        <w:p w14:paraId="6449E499">
          <w:pPr>
            <w:rPr>
              <w:rFonts w:hint="eastAsia"/>
              <w:color w:val="auto"/>
            </w:rPr>
          </w:pPr>
          <w:r>
            <w:rPr>
              <w:b/>
              <w:bCs/>
              <w:color w:val="auto"/>
              <w:lang w:val="zh-CN"/>
            </w:rPr>
            <w:fldChar w:fldCharType="end"/>
          </w:r>
        </w:p>
      </w:sdtContent>
    </w:sdt>
    <w:p w14:paraId="01D3A16B">
      <w:pPr>
        <w:rPr>
          <w:rFonts w:hint="eastAsia"/>
          <w:color w:val="auto"/>
        </w:rPr>
      </w:pPr>
    </w:p>
    <w:p w14:paraId="2EE44590">
      <w:pPr>
        <w:pStyle w:val="2"/>
        <w:rPr>
          <w:rFonts w:hint="eastAsia"/>
          <w:color w:val="auto"/>
        </w:rPr>
      </w:pPr>
      <w:bookmarkStart w:id="0" w:name="_Toc230106818"/>
      <w:r>
        <w:rPr>
          <w:rFonts w:hint="eastAsia"/>
          <w:color w:val="auto"/>
        </w:rPr>
        <w:t>建设必要性</w:t>
      </w:r>
      <w:bookmarkEnd w:id="0"/>
    </w:p>
    <w:p w14:paraId="064D67EE">
      <w:pPr>
        <w:pStyle w:val="3"/>
        <w:rPr>
          <w:rFonts w:hint="eastAsia"/>
          <w:color w:val="auto"/>
        </w:rPr>
      </w:pPr>
      <w:r>
        <w:rPr>
          <w:rFonts w:hint="eastAsia"/>
          <w:color w:val="auto"/>
        </w:rPr>
        <w:t xml:space="preserve"> </w:t>
      </w:r>
      <w:bookmarkStart w:id="1" w:name="_Toc230106819"/>
      <w:r>
        <w:rPr>
          <w:rFonts w:hint="eastAsia"/>
          <w:color w:val="auto"/>
        </w:rPr>
        <w:t>建设背景和依据</w:t>
      </w:r>
      <w:bookmarkEnd w:id="1"/>
    </w:p>
    <w:p w14:paraId="6298CBEF">
      <w:pPr>
        <w:pStyle w:val="4"/>
        <w:rPr>
          <w:rFonts w:hint="eastAsia"/>
          <w:color w:val="auto"/>
        </w:rPr>
      </w:pPr>
      <w:bookmarkStart w:id="2" w:name="_Toc230106820"/>
      <w:r>
        <w:rPr>
          <w:rFonts w:hint="eastAsia"/>
          <w:color w:val="auto"/>
        </w:rPr>
        <w:t>政策背景</w:t>
      </w:r>
      <w:bookmarkEnd w:id="2"/>
    </w:p>
    <w:p w14:paraId="1AD46BB0">
      <w:pPr>
        <w:pStyle w:val="42"/>
        <w:jc w:val="both"/>
        <w:rPr>
          <w:rFonts w:hint="eastAsia"/>
          <w:color w:val="auto"/>
        </w:rPr>
      </w:pPr>
      <w:r>
        <w:rPr>
          <w:color w:val="auto"/>
        </w:rPr>
        <w:t>党的二十大报告明确提出，要"加快建设数字中国"，推动数据要素高效流通，以数字化改革推进政府治理能力现代化。上海市"十四五"规划将数字化转型列为首要任务，浦东新区作为国家战略高地，承担着引领全国数字经济创新发展的重要使命。</w:t>
      </w:r>
    </w:p>
    <w:p w14:paraId="62340CF0">
      <w:pPr>
        <w:ind w:firstLine="480" w:firstLineChars="200"/>
        <w:rPr>
          <w:rFonts w:hint="eastAsia" w:ascii="仿宋" w:hAnsi="仿宋" w:cs="仿宋"/>
          <w:color w:val="auto"/>
        </w:rPr>
      </w:pPr>
      <w:r>
        <w:rPr>
          <w:rFonts w:ascii="仿宋" w:hAnsi="仿宋" w:cs="仿宋"/>
          <w:color w:val="auto"/>
        </w:rPr>
        <w:t>随着《上海市数据条例》《数据安全法》《个人信息保护法》等法律法规的相继出台，以及国家"十四五"信息化规划对信创改造工作的明确要求，各地政务大数据平台正面临技术体系全面升级的历史性节点。浦东新区</w:t>
      </w:r>
      <w:r>
        <w:rPr>
          <w:rFonts w:hint="eastAsia" w:ascii="仿宋" w:hAnsi="仿宋" w:cs="仿宋"/>
          <w:color w:val="auto"/>
          <w:lang w:val="en-US" w:eastAsia="zh-CN"/>
        </w:rPr>
        <w:t>数据支撑子系统</w:t>
      </w:r>
      <w:r>
        <w:rPr>
          <w:rFonts w:ascii="仿宋" w:hAnsi="仿宋" w:cs="仿宋"/>
          <w:color w:val="auto"/>
        </w:rPr>
        <w:t>作为全区政务数据汇聚、共享、开放的核心基础设施，其平台能力的高低直接关系到全区政务服务水平和数字治理质效。</w:t>
      </w:r>
    </w:p>
    <w:p w14:paraId="01E13067">
      <w:pPr>
        <w:pStyle w:val="42"/>
        <w:jc w:val="both"/>
        <w:rPr>
          <w:rFonts w:hint="eastAsia"/>
          <w:color w:val="auto"/>
        </w:rPr>
      </w:pPr>
      <w:r>
        <w:rPr>
          <w:color w:val="auto"/>
        </w:rPr>
        <w:t>近年来，国家和上海市相继出台了系列政策文件，对政务大数据平台的建设运行提出了更高要求。《国家政务信息化项目建设管理办法》要求政务信息系统必须依托国产软硬件体系构建；上海市《政务信息系统安全等级保护实施规范》明确要求涉及政务数据的核心系统须通过密码测评（密评）；国家信创推广目录规定政务核心系统应优先使用经过认证的国产数据库和操作系统。</w:t>
      </w:r>
    </w:p>
    <w:p w14:paraId="370A9165">
      <w:pPr>
        <w:ind w:firstLine="480" w:firstLineChars="200"/>
        <w:rPr>
          <w:rFonts w:hint="eastAsia"/>
          <w:color w:val="auto"/>
        </w:rPr>
      </w:pPr>
      <w:r>
        <w:rPr>
          <w:rFonts w:ascii="仿宋" w:hAnsi="仿宋" w:cs="仿宋"/>
          <w:color w:val="auto"/>
        </w:rPr>
        <w:t>当前平台所使用的技术组件中，部分核心组件尚未完成国产替代，且平台</w:t>
      </w:r>
      <w:r>
        <w:rPr>
          <w:rFonts w:hint="eastAsia" w:cs="仿宋"/>
          <w:color w:val="auto"/>
        </w:rPr>
        <w:t>整体安全管理能力</w:t>
      </w:r>
      <w:r>
        <w:rPr>
          <w:rFonts w:ascii="仿宋" w:hAnsi="仿宋" w:cs="仿宋"/>
          <w:color w:val="auto"/>
        </w:rPr>
        <w:t>与上级要求存在较大差距，整改压力较为突出。</w:t>
      </w:r>
    </w:p>
    <w:p w14:paraId="2B78AF74">
      <w:pPr>
        <w:pStyle w:val="4"/>
        <w:rPr>
          <w:rFonts w:hint="eastAsia"/>
          <w:color w:val="auto"/>
        </w:rPr>
      </w:pPr>
      <w:bookmarkStart w:id="3" w:name="_Toc230106821"/>
      <w:r>
        <w:rPr>
          <w:rFonts w:hint="eastAsia"/>
          <w:color w:val="auto"/>
        </w:rPr>
        <w:t>基础依据</w:t>
      </w:r>
      <w:bookmarkEnd w:id="3"/>
    </w:p>
    <w:p w14:paraId="4FEFC4DD">
      <w:pPr>
        <w:pStyle w:val="42"/>
        <w:jc w:val="both"/>
        <w:rPr>
          <w:rFonts w:hint="eastAsia"/>
          <w:color w:val="auto"/>
          <w:szCs w:val="22"/>
        </w:rPr>
      </w:pPr>
      <w:r>
        <w:rPr>
          <w:rFonts w:hint="eastAsia"/>
          <w:color w:val="auto"/>
          <w:szCs w:val="22"/>
        </w:rPr>
        <w:t>依据相关法律法规及系列文件的要求，提供了基础依据。</w:t>
      </w:r>
    </w:p>
    <w:p w14:paraId="3C603651">
      <w:pPr>
        <w:pStyle w:val="42"/>
        <w:jc w:val="both"/>
        <w:rPr>
          <w:rFonts w:hint="eastAsia"/>
          <w:color w:val="auto"/>
        </w:rPr>
      </w:pPr>
      <w:r>
        <w:rPr>
          <w:color w:val="auto"/>
          <w:szCs w:val="22"/>
        </w:rPr>
        <w:t>（1）《数据安全法》《个人信息保护法》等法律法规的颁布实施，对政务数据的安全保护提出了更高要求。</w:t>
      </w:r>
    </w:p>
    <w:p w14:paraId="521087B5">
      <w:pPr>
        <w:pStyle w:val="42"/>
        <w:jc w:val="both"/>
        <w:rPr>
          <w:rFonts w:hint="eastAsia"/>
          <w:color w:val="auto"/>
        </w:rPr>
      </w:pPr>
      <w:r>
        <w:rPr>
          <w:color w:val="auto"/>
          <w:szCs w:val="22"/>
        </w:rPr>
        <w:t>（2）上海市推进政务信息系统整合共享的系列文件，要求加快推进政务数据统一管理、统一标准、统一共享。</w:t>
      </w:r>
    </w:p>
    <w:p w14:paraId="5F331321">
      <w:pPr>
        <w:pStyle w:val="42"/>
        <w:jc w:val="both"/>
        <w:rPr>
          <w:rFonts w:hint="eastAsia"/>
          <w:color w:val="auto"/>
        </w:rPr>
      </w:pPr>
      <w:r>
        <w:rPr>
          <w:color w:val="auto"/>
          <w:szCs w:val="22"/>
        </w:rPr>
        <w:t>（3）国家信息安全等级保护制度（等保2.0）三级标准和密评要求，要求关键政务信息基础设施完成合规评估。</w:t>
      </w:r>
    </w:p>
    <w:p w14:paraId="4571B3CD">
      <w:pPr>
        <w:pStyle w:val="42"/>
        <w:jc w:val="both"/>
        <w:rPr>
          <w:rFonts w:hint="eastAsia"/>
          <w:color w:val="auto"/>
        </w:rPr>
      </w:pPr>
      <w:r>
        <w:rPr>
          <w:color w:val="auto"/>
          <w:szCs w:val="22"/>
        </w:rPr>
        <w:t>（4）上海市信创推进工作方案，明确要求2025年前完成重点领域信息系统关键软硬件的国产化替代。</w:t>
      </w:r>
    </w:p>
    <w:p w14:paraId="360B9F02">
      <w:pPr>
        <w:pStyle w:val="4"/>
        <w:rPr>
          <w:rFonts w:hint="eastAsia"/>
          <w:color w:val="auto"/>
        </w:rPr>
      </w:pPr>
      <w:bookmarkStart w:id="4" w:name="_Toc230106822"/>
      <w:r>
        <w:rPr>
          <w:rFonts w:hint="eastAsia"/>
          <w:color w:val="auto"/>
        </w:rPr>
        <w:t>平台背景</w:t>
      </w:r>
      <w:bookmarkEnd w:id="4"/>
    </w:p>
    <w:p w14:paraId="76DFD9E7">
      <w:pPr>
        <w:pStyle w:val="42"/>
        <w:jc w:val="both"/>
        <w:rPr>
          <w:rFonts w:hint="eastAsia"/>
          <w:color w:val="auto"/>
        </w:rPr>
      </w:pPr>
      <w:r>
        <w:rPr>
          <w:color w:val="auto"/>
          <w:szCs w:val="22"/>
        </w:rPr>
        <w:t>浦东新区作为上海乃至全国改革开放的重要窗口，政务大数据平台承载着全区各委办局的数据汇聚、共享交换、分析挖掘等核心业务。自平台建设以来，已形成PB级政务数据资产，支撑涵盖政务服务、城市治理、经济监测、应急管理、社会民生等数十个核心业务系统的数据分析与决策支持服务。</w:t>
      </w:r>
    </w:p>
    <w:p w14:paraId="04B76C61">
      <w:pPr>
        <w:pStyle w:val="42"/>
        <w:jc w:val="both"/>
        <w:rPr>
          <w:rFonts w:hint="eastAsia"/>
          <w:color w:val="auto"/>
        </w:rPr>
      </w:pPr>
      <w:r>
        <w:rPr>
          <w:color w:val="auto"/>
          <w:szCs w:val="22"/>
        </w:rPr>
        <w:t>现有平台构建于TDC 2.3 + TDH 6.2 + Inceptor架构之上，基于X86物理机部署，计算存储节点共19台。平台自投运以来，在浦东新区政务数字化转型中发挥了重要作用，有力支撑了一网通办、一网统管等重大政务应用的数据底座建设。</w:t>
      </w:r>
    </w:p>
    <w:p w14:paraId="0BC589A7">
      <w:pPr>
        <w:pStyle w:val="42"/>
        <w:jc w:val="both"/>
        <w:rPr>
          <w:rFonts w:hint="eastAsia"/>
          <w:color w:val="auto"/>
        </w:rPr>
      </w:pPr>
      <w:r>
        <w:rPr>
          <w:color w:val="auto"/>
        </w:rPr>
        <w:t>浦东新区"一网通办"工程、跨部门数据共享协同平台均以</w:t>
      </w:r>
      <w:r>
        <w:rPr>
          <w:rFonts w:hint="eastAsia" w:ascii="仿宋" w:hAnsi="仿宋" w:cs="仿宋"/>
          <w:color w:val="auto"/>
          <w:lang w:val="en-US" w:eastAsia="zh-CN"/>
        </w:rPr>
        <w:t>数据支撑子系统</w:t>
      </w:r>
      <w:r>
        <w:rPr>
          <w:color w:val="auto"/>
        </w:rPr>
        <w:t>为核心支撑。当前，全区已接入平台的委办局达数十家，涉及公安、人社、市监、民政、住建等核心业务部门，日均数据接口调用量持续攀升，夜间跑批任务数量逐年递增，实时数据分析需求迅猛增长。</w:t>
      </w:r>
    </w:p>
    <w:p w14:paraId="343E78ED">
      <w:pPr>
        <w:pStyle w:val="42"/>
        <w:jc w:val="both"/>
        <w:rPr>
          <w:rFonts w:hint="eastAsia"/>
          <w:color w:val="auto"/>
        </w:rPr>
      </w:pPr>
      <w:r>
        <w:rPr>
          <w:color w:val="auto"/>
        </w:rPr>
        <w:t>浦东新区</w:t>
      </w:r>
      <w:r>
        <w:rPr>
          <w:rFonts w:hint="eastAsia" w:ascii="仿宋" w:hAnsi="仿宋" w:cs="仿宋"/>
          <w:color w:val="auto"/>
          <w:lang w:val="en-US" w:eastAsia="zh-CN"/>
        </w:rPr>
        <w:t>数据支撑子系统</w:t>
      </w:r>
      <w:r>
        <w:rPr>
          <w:color w:val="auto"/>
        </w:rPr>
        <w:t>（以下简称"平台"）自2020年建成投入使用以来，有力支撑了全区数字化转型和政务数据共享工作。然而，随着数字浦东建设的持续深入推进，政务数据规模呈爆发式增长，业务应用持续扩展，委办局接口数量大幅提升，现有平台在运行能力、资源容量、安全合规、信创改造等方面已面临严峻挑战，存在较大运行风险。</w:t>
      </w:r>
    </w:p>
    <w:p w14:paraId="5BB1EAD9">
      <w:pPr>
        <w:pStyle w:val="42"/>
        <w:jc w:val="both"/>
        <w:rPr>
          <w:rFonts w:hint="eastAsia"/>
          <w:color w:val="auto"/>
        </w:rPr>
      </w:pPr>
      <w:r>
        <w:rPr>
          <w:color w:val="auto"/>
        </w:rPr>
        <w:t>经系统评估，当前平台存在以下核心问题：一是技术架构老化，基于Hadoop生态的分布式架构已无法适应高并发、强实时分析的业务需求；二是资源瓶颈突出，存储使用率已达85%，系统扩展空间严重受限；三是安全合规压力较大，平台尚不满足密评要求及信创改造规范；四是运维复杂度持续攀升，多组件依赖、故障定位困难，运维成本居高不下。</w:t>
      </w:r>
    </w:p>
    <w:p w14:paraId="538B5D00">
      <w:pPr>
        <w:pStyle w:val="42"/>
        <w:jc w:val="both"/>
        <w:rPr>
          <w:rFonts w:hint="eastAsia"/>
          <w:color w:val="auto"/>
        </w:rPr>
      </w:pPr>
      <w:r>
        <w:rPr>
          <w:color w:val="auto"/>
        </w:rPr>
        <w:t>综合以上分析，浦东新区大数据平台实施升级改造，是确保政务数据安全稳定运行、支撑"一网通办"高质量推进、落实信创改造政策要求、保障重大活动数据安全的现实需要，具有高度的必要性与紧迫性，建议尽快启动立项工作。</w:t>
      </w:r>
    </w:p>
    <w:p w14:paraId="247B9E7F">
      <w:pPr>
        <w:ind w:firstLine="420"/>
        <w:rPr>
          <w:rFonts w:hint="eastAsia"/>
          <w:color w:val="auto"/>
        </w:rPr>
      </w:pPr>
      <w:r>
        <w:rPr>
          <w:rFonts w:ascii="仿宋" w:hAnsi="仿宋" w:cs="仿宋"/>
          <w:bCs/>
          <w:color w:val="auto"/>
        </w:rPr>
        <w:t>核心结论：当前平台已处于技术生命周期末端，存在系统性风险。如不及时升级改造，将对全区政务数字化业务的连续性、安全性和合规性产生重大影响，亟需在近期启动升级改造工作。</w:t>
      </w:r>
    </w:p>
    <w:p w14:paraId="357C2B47">
      <w:pPr>
        <w:pStyle w:val="3"/>
        <w:rPr>
          <w:rFonts w:hint="eastAsia"/>
          <w:color w:val="auto"/>
        </w:rPr>
      </w:pPr>
      <w:bookmarkStart w:id="5" w:name="_Toc230106823"/>
      <w:r>
        <w:rPr>
          <w:rFonts w:hint="eastAsia"/>
          <w:color w:val="auto"/>
        </w:rPr>
        <w:t>项目必要性分析</w:t>
      </w:r>
      <w:bookmarkEnd w:id="5"/>
    </w:p>
    <w:p w14:paraId="77952505">
      <w:pPr>
        <w:pStyle w:val="4"/>
        <w:rPr>
          <w:rFonts w:hint="eastAsia"/>
          <w:color w:val="auto"/>
        </w:rPr>
      </w:pPr>
      <w:bookmarkStart w:id="6" w:name="_Toc230106824"/>
      <w:r>
        <w:rPr>
          <w:rFonts w:hint="eastAsia"/>
          <w:color w:val="auto"/>
        </w:rPr>
        <w:t>本项目现状分析</w:t>
      </w:r>
      <w:bookmarkEnd w:id="6"/>
    </w:p>
    <w:p w14:paraId="2FBA360A">
      <w:pPr>
        <w:pStyle w:val="42"/>
        <w:numPr>
          <w:ilvl w:val="0"/>
          <w:numId w:val="2"/>
        </w:numPr>
        <w:jc w:val="both"/>
        <w:rPr>
          <w:rFonts w:hint="eastAsia"/>
          <w:color w:val="auto"/>
        </w:rPr>
      </w:pPr>
      <w:r>
        <w:rPr>
          <w:color w:val="auto"/>
        </w:rPr>
        <w:t>资源利用率分析</w:t>
      </w:r>
    </w:p>
    <w:p w14:paraId="15B7F5FA">
      <w:pPr>
        <w:pStyle w:val="42"/>
        <w:jc w:val="both"/>
        <w:rPr>
          <w:rFonts w:hint="eastAsia"/>
          <w:color w:val="auto"/>
        </w:rPr>
      </w:pPr>
      <w:r>
        <w:rPr>
          <w:color w:val="auto"/>
        </w:rPr>
        <w:t>从当前平台运行数据来看，各项资源指标均呈现出较为严峻的态势。尤其是存储资源，当前使用率已达85%，逼近系统正常运行的安全红线（通常设定为80%），一旦触达上限，将引发平台运行异常，严重时可能导致数据写入失败。</w:t>
      </w:r>
    </w:p>
    <w:p w14:paraId="4D643137">
      <w:pPr>
        <w:pStyle w:val="42"/>
        <w:jc w:val="both"/>
        <w:rPr>
          <w:rFonts w:hint="eastAsia"/>
          <w:color w:val="auto"/>
        </w:rPr>
      </w:pPr>
      <w:r>
        <w:rPr>
          <w:bCs/>
          <w:color w:val="auto"/>
        </w:rPr>
        <w:t>当前存储使用率已达85%，超过业界公认的80%警戒线，属于高风险区间。按照现有数据增长速度，预计在6-12个月内将达到存储容量上限，届时将直接影响数据的正常汇聚与共享。</w:t>
      </w:r>
    </w:p>
    <w:p w14:paraId="17C0EA11">
      <w:pPr>
        <w:pStyle w:val="42"/>
        <w:jc w:val="both"/>
        <w:rPr>
          <w:rFonts w:hint="eastAsia"/>
          <w:color w:val="auto"/>
        </w:rPr>
      </w:pPr>
      <w:r>
        <w:rPr>
          <w:color w:val="auto"/>
        </w:rPr>
        <w:t>CPU和内存的平均使用率虽看似在可控范围内（CPU约40%，内存约60%），但需注意的是，政务大数据平台的负载具有明显的峰谷特征：日间受到"一网通办"等实时业务的接口调用，夜间则集中承载跑批任务。在批处理任务密集期，CPU峰值使用率可能冲高至80%以上，内存使用率更可能突破85%，导致部分任务因资源抢占而失败或超时。</w:t>
      </w:r>
    </w:p>
    <w:p w14:paraId="5EE054E8">
      <w:pPr>
        <w:pStyle w:val="42"/>
        <w:numPr>
          <w:ilvl w:val="0"/>
          <w:numId w:val="2"/>
        </w:numPr>
        <w:jc w:val="both"/>
        <w:rPr>
          <w:rFonts w:hint="eastAsia"/>
          <w:color w:val="auto"/>
        </w:rPr>
      </w:pPr>
      <w:r>
        <w:rPr>
          <w:color w:val="auto"/>
        </w:rPr>
        <w:t>批处理任务时效分析</w:t>
      </w:r>
    </w:p>
    <w:p w14:paraId="5F26341A">
      <w:pPr>
        <w:pStyle w:val="42"/>
        <w:jc w:val="both"/>
        <w:rPr>
          <w:rFonts w:hint="eastAsia"/>
          <w:color w:val="auto"/>
        </w:rPr>
      </w:pPr>
      <w:r>
        <w:rPr>
          <w:color w:val="auto"/>
        </w:rPr>
        <w:t>当前平台夜间批处理作业时间窗口（22:00—次日6:00）共计8小时，随着数据规模和任务数量的持续增加，已有多次出现任务无法在窗口期内完成的情况。部分核心跑批任务（如民政数据汇聚、人社数据整合等）在复杂SQL场景下，单个任务执行时长超过2小时，与其他任务形成资源竞争，严重影响整体批处理效率。</w:t>
      </w:r>
    </w:p>
    <w:p w14:paraId="57A9B1E5">
      <w:pPr>
        <w:pStyle w:val="42"/>
        <w:jc w:val="both"/>
        <w:rPr>
          <w:rFonts w:hint="eastAsia"/>
          <w:color w:val="auto"/>
        </w:rPr>
      </w:pPr>
      <w:r>
        <w:rPr>
          <w:color w:val="auto"/>
        </w:rPr>
        <w:t>当批处理任务因超时未能完成时，将直接导致次日上班后数据未能及时更新，影响各委办局及领导驾驶舱的数据准确性，引发投诉和舆情风险。</w:t>
      </w:r>
    </w:p>
    <w:p w14:paraId="241A7FFA">
      <w:pPr>
        <w:pStyle w:val="42"/>
        <w:numPr>
          <w:ilvl w:val="0"/>
          <w:numId w:val="2"/>
        </w:numPr>
        <w:jc w:val="both"/>
        <w:rPr>
          <w:rFonts w:hint="eastAsia"/>
          <w:color w:val="auto"/>
        </w:rPr>
      </w:pPr>
      <w:r>
        <w:rPr>
          <w:color w:val="auto"/>
        </w:rPr>
        <w:t>接口响应与稳定性分析</w:t>
      </w:r>
    </w:p>
    <w:p w14:paraId="27AC4EDF">
      <w:pPr>
        <w:pStyle w:val="42"/>
        <w:jc w:val="both"/>
        <w:rPr>
          <w:rFonts w:hint="eastAsia"/>
          <w:color w:val="auto"/>
        </w:rPr>
      </w:pPr>
      <w:r>
        <w:rPr>
          <w:color w:val="auto"/>
        </w:rPr>
        <w:t>随着委办局接入数量的增加和业务应用的持续扩展，日均接口调用量大幅提升。当前平台的Inceptor引擎在高并发场景下，并发处理能力存在明显瓶颈，频繁出现接口响应时间超过阈值的情况，影响前端业务系统的正常使用体验。</w:t>
      </w:r>
    </w:p>
    <w:p w14:paraId="185A8B91">
      <w:pPr>
        <w:pStyle w:val="42"/>
        <w:jc w:val="both"/>
        <w:rPr>
          <w:rFonts w:hint="eastAsia"/>
          <w:color w:val="auto"/>
        </w:rPr>
      </w:pPr>
      <w:r>
        <w:rPr>
          <w:color w:val="auto"/>
        </w:rPr>
        <w:t>在重大活动期间，各类展示和保障系统对平台数据的实时调用压力</w:t>
      </w:r>
      <w:r>
        <w:rPr>
          <w:rFonts w:hint="eastAsia"/>
          <w:color w:val="auto"/>
        </w:rPr>
        <w:t>和存储压力</w:t>
      </w:r>
      <w:r>
        <w:rPr>
          <w:color w:val="auto"/>
        </w:rPr>
        <w:t>倍增，当前平台已多次出现在高峰期响应缓慢，造成了一定的影响。</w:t>
      </w:r>
    </w:p>
    <w:p w14:paraId="64A9093F">
      <w:pPr>
        <w:pStyle w:val="42"/>
        <w:numPr>
          <w:ilvl w:val="0"/>
          <w:numId w:val="2"/>
        </w:numPr>
        <w:jc w:val="both"/>
        <w:rPr>
          <w:rFonts w:hint="eastAsia"/>
          <w:color w:val="auto"/>
        </w:rPr>
      </w:pPr>
      <w:r>
        <w:rPr>
          <w:color w:val="auto"/>
        </w:rPr>
        <w:t>运维管理现状</w:t>
      </w:r>
    </w:p>
    <w:p w14:paraId="43D4B258">
      <w:pPr>
        <w:widowControl/>
        <w:ind w:firstLine="420"/>
        <w:rPr>
          <w:rFonts w:hint="eastAsia"/>
          <w:color w:val="auto"/>
        </w:rPr>
      </w:pPr>
      <w:r>
        <w:rPr>
          <w:rFonts w:ascii="仿宋" w:hAnsi="仿宋" w:cs="仿宋"/>
          <w:color w:val="auto"/>
        </w:rPr>
        <w:t>当前平台由Hadoop生态演化而来，运行组件繁多，包括HDFS、YARN、Hive、HBase、Spark、ZooKeeper等十余个核心组件，组件间依赖关系复杂，运维人员技术要求高，且培训成本居高不下。一旦发生故障，问题排查链条长，平均故障恢复时间（MTTR）难以有效压缩，严重影响系统可用性。</w:t>
      </w:r>
    </w:p>
    <w:p w14:paraId="51CAA87E">
      <w:pPr>
        <w:pStyle w:val="4"/>
        <w:rPr>
          <w:rFonts w:hint="eastAsia"/>
          <w:color w:val="auto"/>
        </w:rPr>
      </w:pPr>
      <w:bookmarkStart w:id="7" w:name="_Toc230106825"/>
      <w:r>
        <w:rPr>
          <w:rFonts w:hint="eastAsia"/>
          <w:color w:val="auto"/>
        </w:rPr>
        <w:t>现有网络与设备情况以及其他信息资源</w:t>
      </w:r>
      <w:bookmarkEnd w:id="7"/>
    </w:p>
    <w:p w14:paraId="66AED166">
      <w:pPr>
        <w:pStyle w:val="42"/>
        <w:rPr>
          <w:rFonts w:hint="eastAsia"/>
          <w:color w:val="auto"/>
        </w:rPr>
      </w:pPr>
      <w:r>
        <w:rPr>
          <w:color w:val="auto"/>
        </w:rPr>
        <w:t>浦东新区大数据平台于2020年正式建设完成并投入使用，经过数年运行，已成为全区政务数据汇聚共享的重要基础设施。平台采用星环科技TDC 2.3版本（数据</w:t>
      </w:r>
      <w:r>
        <w:rPr>
          <w:rFonts w:hint="eastAsia"/>
          <w:color w:val="auto"/>
        </w:rPr>
        <w:t>云平台</w:t>
      </w:r>
      <w:r>
        <w:rPr>
          <w:color w:val="auto"/>
        </w:rPr>
        <w:t>）和TDH 6.2版本（分布式数据仓库），以Inceptor作为主要分析引擎，运行于X86物理机环境。</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0"/>
        <w:gridCol w:w="2396"/>
        <w:gridCol w:w="3576"/>
      </w:tblGrid>
      <w:tr w14:paraId="0370F8C6">
        <w:tc>
          <w:tcPr>
            <w:tcW w:w="1496" w:type="pct"/>
          </w:tcPr>
          <w:p w14:paraId="5BA417E9">
            <w:pPr>
              <w:pStyle w:val="43"/>
              <w:jc w:val="center"/>
              <w:rPr>
                <w:rFonts w:ascii="仿宋" w:hAnsi="仿宋" w:eastAsia="仿宋"/>
                <w:color w:val="auto"/>
                <w:sz w:val="24"/>
              </w:rPr>
            </w:pPr>
            <w:r>
              <w:rPr>
                <w:rFonts w:ascii="仿宋" w:hAnsi="仿宋" w:eastAsia="仿宋"/>
                <w:bCs/>
                <w:color w:val="auto"/>
                <w:sz w:val="24"/>
              </w:rPr>
              <w:t>指标项</w:t>
            </w:r>
          </w:p>
        </w:tc>
        <w:tc>
          <w:tcPr>
            <w:tcW w:w="1406" w:type="pct"/>
          </w:tcPr>
          <w:p w14:paraId="41362807">
            <w:pPr>
              <w:pStyle w:val="43"/>
              <w:jc w:val="center"/>
              <w:rPr>
                <w:rFonts w:ascii="仿宋" w:hAnsi="仿宋" w:eastAsia="仿宋"/>
                <w:color w:val="auto"/>
                <w:sz w:val="24"/>
              </w:rPr>
            </w:pPr>
            <w:r>
              <w:rPr>
                <w:rFonts w:ascii="仿宋" w:hAnsi="仿宋" w:eastAsia="仿宋"/>
                <w:bCs/>
                <w:color w:val="auto"/>
                <w:sz w:val="24"/>
              </w:rPr>
              <w:t>当前状态</w:t>
            </w:r>
          </w:p>
        </w:tc>
        <w:tc>
          <w:tcPr>
            <w:tcW w:w="2098" w:type="pct"/>
          </w:tcPr>
          <w:p w14:paraId="55AA5AF9">
            <w:pPr>
              <w:pStyle w:val="43"/>
              <w:jc w:val="center"/>
              <w:rPr>
                <w:rFonts w:ascii="仿宋" w:hAnsi="仿宋" w:eastAsia="仿宋"/>
                <w:color w:val="auto"/>
                <w:sz w:val="24"/>
              </w:rPr>
            </w:pPr>
            <w:r>
              <w:rPr>
                <w:rFonts w:ascii="仿宋" w:hAnsi="仿宋" w:eastAsia="仿宋"/>
                <w:bCs/>
                <w:color w:val="auto"/>
                <w:sz w:val="24"/>
              </w:rPr>
              <w:t>说明</w:t>
            </w:r>
          </w:p>
        </w:tc>
      </w:tr>
      <w:tr w14:paraId="7E5A6CF6">
        <w:tc>
          <w:tcPr>
            <w:tcW w:w="1496" w:type="pct"/>
          </w:tcPr>
          <w:p w14:paraId="20047024">
            <w:pPr>
              <w:pStyle w:val="43"/>
              <w:rPr>
                <w:rFonts w:ascii="仿宋" w:hAnsi="仿宋" w:eastAsia="仿宋"/>
                <w:color w:val="auto"/>
                <w:sz w:val="24"/>
              </w:rPr>
            </w:pPr>
            <w:r>
              <w:rPr>
                <w:rFonts w:ascii="仿宋" w:hAnsi="仿宋" w:eastAsia="仿宋"/>
                <w:color w:val="auto"/>
                <w:sz w:val="24"/>
              </w:rPr>
              <w:t>平台建设时间</w:t>
            </w:r>
          </w:p>
        </w:tc>
        <w:tc>
          <w:tcPr>
            <w:tcW w:w="1406" w:type="pct"/>
          </w:tcPr>
          <w:p w14:paraId="654ECEFF">
            <w:pPr>
              <w:pStyle w:val="43"/>
              <w:rPr>
                <w:rFonts w:ascii="仿宋" w:hAnsi="仿宋" w:eastAsia="仿宋"/>
                <w:color w:val="auto"/>
                <w:sz w:val="24"/>
              </w:rPr>
            </w:pPr>
            <w:r>
              <w:rPr>
                <w:rFonts w:ascii="仿宋" w:hAnsi="仿宋" w:eastAsia="仿宋"/>
                <w:color w:val="auto"/>
                <w:sz w:val="24"/>
              </w:rPr>
              <w:t>2020年</w:t>
            </w:r>
          </w:p>
        </w:tc>
        <w:tc>
          <w:tcPr>
            <w:tcW w:w="2098" w:type="pct"/>
          </w:tcPr>
          <w:p w14:paraId="1B67F623">
            <w:pPr>
              <w:pStyle w:val="43"/>
              <w:rPr>
                <w:rFonts w:ascii="仿宋" w:hAnsi="仿宋" w:eastAsia="仿宋"/>
                <w:color w:val="auto"/>
                <w:sz w:val="24"/>
              </w:rPr>
            </w:pPr>
            <w:r>
              <w:rPr>
                <w:rFonts w:ascii="仿宋" w:hAnsi="仿宋" w:eastAsia="仿宋"/>
                <w:color w:val="auto"/>
                <w:sz w:val="24"/>
              </w:rPr>
              <w:t>已运行约5年</w:t>
            </w:r>
          </w:p>
        </w:tc>
      </w:tr>
      <w:tr w14:paraId="22C63F20">
        <w:tc>
          <w:tcPr>
            <w:tcW w:w="1496" w:type="pct"/>
          </w:tcPr>
          <w:p w14:paraId="6E1307CF">
            <w:pPr>
              <w:pStyle w:val="43"/>
              <w:rPr>
                <w:rFonts w:ascii="仿宋" w:hAnsi="仿宋" w:eastAsia="仿宋"/>
                <w:color w:val="auto"/>
                <w:sz w:val="24"/>
              </w:rPr>
            </w:pPr>
            <w:r>
              <w:rPr>
                <w:rFonts w:ascii="仿宋" w:hAnsi="仿宋" w:eastAsia="仿宋"/>
                <w:color w:val="auto"/>
                <w:sz w:val="24"/>
              </w:rPr>
              <w:t>数据中台版本</w:t>
            </w:r>
          </w:p>
        </w:tc>
        <w:tc>
          <w:tcPr>
            <w:tcW w:w="1406" w:type="pct"/>
          </w:tcPr>
          <w:p w14:paraId="6B1F8682">
            <w:pPr>
              <w:pStyle w:val="43"/>
              <w:rPr>
                <w:rFonts w:ascii="仿宋" w:hAnsi="仿宋" w:eastAsia="仿宋"/>
                <w:color w:val="auto"/>
                <w:sz w:val="24"/>
              </w:rPr>
            </w:pPr>
            <w:r>
              <w:rPr>
                <w:rFonts w:ascii="仿宋" w:hAnsi="仿宋" w:eastAsia="仿宋"/>
                <w:color w:val="auto"/>
                <w:sz w:val="24"/>
              </w:rPr>
              <w:t>TDC 2.3</w:t>
            </w:r>
          </w:p>
        </w:tc>
        <w:tc>
          <w:tcPr>
            <w:tcW w:w="2098" w:type="pct"/>
          </w:tcPr>
          <w:p w14:paraId="3378223D">
            <w:pPr>
              <w:pStyle w:val="43"/>
              <w:rPr>
                <w:rFonts w:ascii="仿宋" w:hAnsi="仿宋" w:eastAsia="仿宋"/>
                <w:color w:val="auto"/>
                <w:sz w:val="24"/>
              </w:rPr>
            </w:pPr>
            <w:r>
              <w:rPr>
                <w:rFonts w:ascii="仿宋" w:hAnsi="仿宋" w:eastAsia="仿宋"/>
                <w:color w:val="auto"/>
                <w:sz w:val="24"/>
              </w:rPr>
              <w:t>非最新版本，停止主动维护</w:t>
            </w:r>
          </w:p>
        </w:tc>
      </w:tr>
      <w:tr w14:paraId="3912D831">
        <w:tc>
          <w:tcPr>
            <w:tcW w:w="1496" w:type="pct"/>
          </w:tcPr>
          <w:p w14:paraId="2A70749C">
            <w:pPr>
              <w:pStyle w:val="43"/>
              <w:rPr>
                <w:rFonts w:ascii="仿宋" w:hAnsi="仿宋" w:eastAsia="仿宋"/>
                <w:color w:val="auto"/>
                <w:sz w:val="24"/>
              </w:rPr>
            </w:pPr>
            <w:r>
              <w:rPr>
                <w:rFonts w:ascii="仿宋" w:hAnsi="仿宋" w:eastAsia="仿宋"/>
                <w:color w:val="auto"/>
                <w:sz w:val="24"/>
              </w:rPr>
              <w:t>数据仓库版本</w:t>
            </w:r>
          </w:p>
        </w:tc>
        <w:tc>
          <w:tcPr>
            <w:tcW w:w="1406" w:type="pct"/>
          </w:tcPr>
          <w:p w14:paraId="3736512D">
            <w:pPr>
              <w:pStyle w:val="43"/>
              <w:rPr>
                <w:rFonts w:ascii="仿宋" w:hAnsi="仿宋" w:eastAsia="仿宋"/>
                <w:color w:val="auto"/>
                <w:sz w:val="24"/>
              </w:rPr>
            </w:pPr>
            <w:r>
              <w:rPr>
                <w:rFonts w:ascii="仿宋" w:hAnsi="仿宋" w:eastAsia="仿宋"/>
                <w:color w:val="auto"/>
                <w:sz w:val="24"/>
              </w:rPr>
              <w:t>TDH 6.2</w:t>
            </w:r>
          </w:p>
        </w:tc>
        <w:tc>
          <w:tcPr>
            <w:tcW w:w="2098" w:type="pct"/>
          </w:tcPr>
          <w:p w14:paraId="39D4F048">
            <w:pPr>
              <w:pStyle w:val="43"/>
              <w:rPr>
                <w:rFonts w:ascii="仿宋" w:hAnsi="仿宋" w:eastAsia="仿宋"/>
                <w:color w:val="auto"/>
                <w:sz w:val="24"/>
              </w:rPr>
            </w:pPr>
            <w:r>
              <w:rPr>
                <w:rFonts w:ascii="仿宋" w:hAnsi="仿宋" w:eastAsia="仿宋"/>
                <w:color w:val="auto"/>
                <w:sz w:val="24"/>
              </w:rPr>
              <w:t>非最新版本，部分功能受限</w:t>
            </w:r>
          </w:p>
        </w:tc>
      </w:tr>
      <w:tr w14:paraId="268E178C">
        <w:tc>
          <w:tcPr>
            <w:tcW w:w="1496" w:type="pct"/>
          </w:tcPr>
          <w:p w14:paraId="22FCA812">
            <w:pPr>
              <w:pStyle w:val="43"/>
              <w:rPr>
                <w:rFonts w:ascii="仿宋" w:hAnsi="仿宋" w:eastAsia="仿宋"/>
                <w:color w:val="auto"/>
                <w:sz w:val="24"/>
              </w:rPr>
            </w:pPr>
            <w:r>
              <w:rPr>
                <w:rFonts w:ascii="仿宋" w:hAnsi="仿宋" w:eastAsia="仿宋"/>
                <w:color w:val="auto"/>
                <w:sz w:val="24"/>
              </w:rPr>
              <w:t>主要分析引擎</w:t>
            </w:r>
          </w:p>
        </w:tc>
        <w:tc>
          <w:tcPr>
            <w:tcW w:w="1406" w:type="pct"/>
          </w:tcPr>
          <w:p w14:paraId="51C86CF7">
            <w:pPr>
              <w:pStyle w:val="43"/>
              <w:rPr>
                <w:rFonts w:ascii="仿宋" w:hAnsi="仿宋" w:eastAsia="仿宋"/>
                <w:color w:val="auto"/>
                <w:sz w:val="24"/>
              </w:rPr>
            </w:pPr>
            <w:r>
              <w:rPr>
                <w:rFonts w:ascii="仿宋" w:hAnsi="仿宋" w:eastAsia="仿宋"/>
                <w:color w:val="auto"/>
                <w:sz w:val="24"/>
              </w:rPr>
              <w:t>Inceptor</w:t>
            </w:r>
          </w:p>
        </w:tc>
        <w:tc>
          <w:tcPr>
            <w:tcW w:w="2098" w:type="pct"/>
          </w:tcPr>
          <w:p w14:paraId="110922F0">
            <w:pPr>
              <w:pStyle w:val="43"/>
              <w:rPr>
                <w:rFonts w:ascii="仿宋" w:hAnsi="仿宋" w:eastAsia="仿宋"/>
                <w:color w:val="auto"/>
                <w:sz w:val="24"/>
              </w:rPr>
            </w:pPr>
            <w:r>
              <w:rPr>
                <w:rFonts w:ascii="仿宋" w:hAnsi="仿宋" w:eastAsia="仿宋"/>
                <w:color w:val="auto"/>
                <w:sz w:val="24"/>
              </w:rPr>
              <w:t>基于Hadoop生态，架构老化</w:t>
            </w:r>
          </w:p>
        </w:tc>
      </w:tr>
      <w:tr w14:paraId="1EBA847A">
        <w:tc>
          <w:tcPr>
            <w:tcW w:w="1496" w:type="pct"/>
          </w:tcPr>
          <w:p w14:paraId="342A1ED7">
            <w:pPr>
              <w:pStyle w:val="43"/>
              <w:rPr>
                <w:rFonts w:ascii="仿宋" w:hAnsi="仿宋" w:eastAsia="仿宋"/>
                <w:color w:val="auto"/>
                <w:sz w:val="24"/>
              </w:rPr>
            </w:pPr>
            <w:r>
              <w:rPr>
                <w:rFonts w:ascii="仿宋" w:hAnsi="仿宋" w:eastAsia="仿宋"/>
                <w:color w:val="auto"/>
                <w:sz w:val="24"/>
              </w:rPr>
              <w:t>运行环境</w:t>
            </w:r>
          </w:p>
        </w:tc>
        <w:tc>
          <w:tcPr>
            <w:tcW w:w="1406" w:type="pct"/>
          </w:tcPr>
          <w:p w14:paraId="4EEDF4CC">
            <w:pPr>
              <w:pStyle w:val="43"/>
              <w:rPr>
                <w:rFonts w:ascii="仿宋" w:hAnsi="仿宋" w:eastAsia="仿宋"/>
                <w:color w:val="auto"/>
                <w:sz w:val="24"/>
              </w:rPr>
            </w:pPr>
            <w:r>
              <w:rPr>
                <w:rFonts w:ascii="仿宋" w:hAnsi="仿宋" w:eastAsia="仿宋"/>
                <w:color w:val="auto"/>
                <w:sz w:val="24"/>
              </w:rPr>
              <w:t>X86物理机</w:t>
            </w:r>
          </w:p>
        </w:tc>
        <w:tc>
          <w:tcPr>
            <w:tcW w:w="2098" w:type="pct"/>
          </w:tcPr>
          <w:p w14:paraId="19D51605">
            <w:pPr>
              <w:pStyle w:val="43"/>
              <w:rPr>
                <w:rFonts w:ascii="仿宋" w:hAnsi="仿宋" w:eastAsia="仿宋"/>
                <w:color w:val="auto"/>
                <w:sz w:val="24"/>
              </w:rPr>
            </w:pPr>
            <w:r>
              <w:rPr>
                <w:rFonts w:ascii="仿宋" w:hAnsi="仿宋" w:eastAsia="仿宋"/>
                <w:color w:val="auto"/>
                <w:sz w:val="24"/>
              </w:rPr>
              <w:t>待信创改造</w:t>
            </w:r>
          </w:p>
        </w:tc>
      </w:tr>
      <w:tr w14:paraId="31DA3843">
        <w:tc>
          <w:tcPr>
            <w:tcW w:w="1496" w:type="pct"/>
          </w:tcPr>
          <w:p w14:paraId="7478FACF">
            <w:pPr>
              <w:pStyle w:val="43"/>
              <w:rPr>
                <w:rFonts w:ascii="仿宋" w:hAnsi="仿宋" w:eastAsia="仿宋"/>
                <w:color w:val="auto"/>
                <w:sz w:val="24"/>
              </w:rPr>
            </w:pPr>
            <w:r>
              <w:rPr>
                <w:rFonts w:ascii="仿宋" w:hAnsi="仿宋" w:eastAsia="仿宋"/>
                <w:color w:val="auto"/>
                <w:sz w:val="24"/>
              </w:rPr>
              <w:t>平台节点规模</w:t>
            </w:r>
          </w:p>
        </w:tc>
        <w:tc>
          <w:tcPr>
            <w:tcW w:w="1406" w:type="pct"/>
          </w:tcPr>
          <w:p w14:paraId="603AC3C5">
            <w:pPr>
              <w:pStyle w:val="43"/>
              <w:rPr>
                <w:rFonts w:ascii="仿宋" w:hAnsi="仿宋" w:eastAsia="仿宋"/>
                <w:color w:val="auto"/>
                <w:sz w:val="24"/>
              </w:rPr>
            </w:pPr>
            <w:r>
              <w:rPr>
                <w:rFonts w:ascii="仿宋" w:hAnsi="仿宋" w:eastAsia="仿宋"/>
                <w:color w:val="auto"/>
                <w:sz w:val="24"/>
              </w:rPr>
              <w:t>19个节点</w:t>
            </w:r>
          </w:p>
        </w:tc>
        <w:tc>
          <w:tcPr>
            <w:tcW w:w="2098" w:type="pct"/>
          </w:tcPr>
          <w:p w14:paraId="49753E0C">
            <w:pPr>
              <w:pStyle w:val="43"/>
              <w:rPr>
                <w:rFonts w:ascii="仿宋" w:hAnsi="仿宋" w:eastAsia="仿宋"/>
                <w:color w:val="auto"/>
                <w:sz w:val="24"/>
              </w:rPr>
            </w:pPr>
            <w:r>
              <w:rPr>
                <w:rFonts w:ascii="仿宋" w:hAnsi="仿宋" w:eastAsia="仿宋"/>
                <w:color w:val="auto"/>
                <w:sz w:val="24"/>
              </w:rPr>
              <w:t>扩展空间受限</w:t>
            </w:r>
          </w:p>
        </w:tc>
      </w:tr>
      <w:tr w14:paraId="2E425BBF">
        <w:tc>
          <w:tcPr>
            <w:tcW w:w="1496" w:type="pct"/>
          </w:tcPr>
          <w:p w14:paraId="1BAD3D61">
            <w:pPr>
              <w:pStyle w:val="43"/>
              <w:rPr>
                <w:rFonts w:ascii="仿宋" w:hAnsi="仿宋" w:eastAsia="仿宋"/>
                <w:color w:val="auto"/>
                <w:sz w:val="24"/>
              </w:rPr>
            </w:pPr>
            <w:r>
              <w:rPr>
                <w:rFonts w:ascii="仿宋" w:hAnsi="仿宋" w:eastAsia="仿宋"/>
                <w:color w:val="auto"/>
                <w:sz w:val="24"/>
              </w:rPr>
              <w:t>CPU使用率</w:t>
            </w:r>
          </w:p>
        </w:tc>
        <w:tc>
          <w:tcPr>
            <w:tcW w:w="1406" w:type="pct"/>
          </w:tcPr>
          <w:p w14:paraId="60188050">
            <w:pPr>
              <w:pStyle w:val="43"/>
              <w:rPr>
                <w:rFonts w:ascii="仿宋" w:hAnsi="仿宋" w:eastAsia="仿宋"/>
                <w:color w:val="auto"/>
                <w:sz w:val="24"/>
              </w:rPr>
            </w:pPr>
            <w:r>
              <w:rPr>
                <w:rFonts w:ascii="仿宋" w:hAnsi="仿宋" w:eastAsia="仿宋"/>
                <w:color w:val="auto"/>
                <w:sz w:val="24"/>
              </w:rPr>
              <w:t>约40%（峰值更高）</w:t>
            </w:r>
          </w:p>
        </w:tc>
        <w:tc>
          <w:tcPr>
            <w:tcW w:w="2098" w:type="pct"/>
          </w:tcPr>
          <w:p w14:paraId="26FF613E">
            <w:pPr>
              <w:pStyle w:val="43"/>
              <w:rPr>
                <w:rFonts w:ascii="仿宋" w:hAnsi="仿宋" w:eastAsia="仿宋"/>
                <w:color w:val="auto"/>
                <w:sz w:val="24"/>
              </w:rPr>
            </w:pPr>
            <w:r>
              <w:rPr>
                <w:rFonts w:ascii="仿宋" w:hAnsi="仿宋" w:eastAsia="仿宋"/>
                <w:color w:val="auto"/>
                <w:sz w:val="24"/>
              </w:rPr>
              <w:t>峰值期资源紧张</w:t>
            </w:r>
          </w:p>
        </w:tc>
      </w:tr>
      <w:tr w14:paraId="3AB31DF3">
        <w:tc>
          <w:tcPr>
            <w:tcW w:w="1496" w:type="pct"/>
          </w:tcPr>
          <w:p w14:paraId="42C66828">
            <w:pPr>
              <w:pStyle w:val="43"/>
              <w:rPr>
                <w:rFonts w:ascii="仿宋" w:hAnsi="仿宋" w:eastAsia="仿宋"/>
                <w:color w:val="auto"/>
                <w:sz w:val="24"/>
              </w:rPr>
            </w:pPr>
            <w:r>
              <w:rPr>
                <w:rFonts w:ascii="仿宋" w:hAnsi="仿宋" w:eastAsia="仿宋"/>
                <w:color w:val="auto"/>
                <w:sz w:val="24"/>
              </w:rPr>
              <w:t>内存使用率</w:t>
            </w:r>
          </w:p>
        </w:tc>
        <w:tc>
          <w:tcPr>
            <w:tcW w:w="1406" w:type="pct"/>
          </w:tcPr>
          <w:p w14:paraId="5096A218">
            <w:pPr>
              <w:pStyle w:val="43"/>
              <w:rPr>
                <w:rFonts w:ascii="仿宋" w:hAnsi="仿宋" w:eastAsia="仿宋"/>
                <w:color w:val="auto"/>
                <w:sz w:val="24"/>
              </w:rPr>
            </w:pPr>
            <w:r>
              <w:rPr>
                <w:rFonts w:ascii="仿宋" w:hAnsi="仿宋" w:eastAsia="仿宋"/>
                <w:color w:val="auto"/>
                <w:sz w:val="24"/>
              </w:rPr>
              <w:t>约60%（峰值更高）</w:t>
            </w:r>
          </w:p>
        </w:tc>
        <w:tc>
          <w:tcPr>
            <w:tcW w:w="2098" w:type="pct"/>
          </w:tcPr>
          <w:p w14:paraId="3DD54B36">
            <w:pPr>
              <w:pStyle w:val="43"/>
              <w:rPr>
                <w:rFonts w:ascii="仿宋" w:hAnsi="仿宋" w:eastAsia="仿宋"/>
                <w:color w:val="auto"/>
                <w:sz w:val="24"/>
              </w:rPr>
            </w:pPr>
            <w:r>
              <w:rPr>
                <w:rFonts w:ascii="仿宋" w:hAnsi="仿宋" w:eastAsia="仿宋"/>
                <w:color w:val="auto"/>
                <w:sz w:val="24"/>
              </w:rPr>
              <w:t>大任务并发时存在OOM风险</w:t>
            </w:r>
          </w:p>
        </w:tc>
      </w:tr>
      <w:tr w14:paraId="010E2514">
        <w:tc>
          <w:tcPr>
            <w:tcW w:w="1496" w:type="pct"/>
          </w:tcPr>
          <w:p w14:paraId="0490CA20">
            <w:pPr>
              <w:pStyle w:val="43"/>
              <w:rPr>
                <w:rFonts w:ascii="仿宋" w:hAnsi="仿宋" w:eastAsia="仿宋"/>
                <w:color w:val="auto"/>
                <w:sz w:val="24"/>
              </w:rPr>
            </w:pPr>
            <w:r>
              <w:rPr>
                <w:rFonts w:ascii="仿宋" w:hAnsi="仿宋" w:eastAsia="仿宋"/>
                <w:color w:val="auto"/>
                <w:sz w:val="24"/>
              </w:rPr>
              <w:t>存储使用率</w:t>
            </w:r>
          </w:p>
        </w:tc>
        <w:tc>
          <w:tcPr>
            <w:tcW w:w="1406" w:type="pct"/>
          </w:tcPr>
          <w:p w14:paraId="41A6CEBE">
            <w:pPr>
              <w:pStyle w:val="43"/>
              <w:rPr>
                <w:rFonts w:ascii="仿宋" w:hAnsi="仿宋" w:eastAsia="仿宋"/>
                <w:color w:val="auto"/>
                <w:sz w:val="24"/>
              </w:rPr>
            </w:pPr>
            <w:r>
              <w:rPr>
                <w:rFonts w:ascii="仿宋" w:hAnsi="仿宋" w:eastAsia="仿宋"/>
                <w:color w:val="auto"/>
                <w:sz w:val="24"/>
              </w:rPr>
              <w:t>约85%</w:t>
            </w:r>
          </w:p>
        </w:tc>
        <w:tc>
          <w:tcPr>
            <w:tcW w:w="2098" w:type="pct"/>
          </w:tcPr>
          <w:p w14:paraId="375633CE">
            <w:pPr>
              <w:pStyle w:val="43"/>
              <w:rPr>
                <w:rFonts w:ascii="仿宋" w:hAnsi="仿宋" w:eastAsia="仿宋"/>
                <w:color w:val="auto"/>
                <w:sz w:val="24"/>
              </w:rPr>
            </w:pPr>
            <w:r>
              <w:rPr>
                <w:rFonts w:ascii="仿宋" w:hAnsi="仿宋" w:eastAsia="仿宋"/>
                <w:bCs/>
                <w:color w:val="auto"/>
                <w:sz w:val="24"/>
              </w:rPr>
              <w:t>已接近红线，高风险</w:t>
            </w:r>
          </w:p>
        </w:tc>
      </w:tr>
      <w:tr w14:paraId="0D637A18">
        <w:tc>
          <w:tcPr>
            <w:tcW w:w="1496" w:type="pct"/>
          </w:tcPr>
          <w:p w14:paraId="16B12F6F">
            <w:pPr>
              <w:pStyle w:val="43"/>
              <w:rPr>
                <w:rFonts w:ascii="仿宋" w:hAnsi="仿宋" w:eastAsia="仿宋"/>
                <w:color w:val="auto"/>
                <w:sz w:val="24"/>
              </w:rPr>
            </w:pPr>
            <w:r>
              <w:rPr>
                <w:rFonts w:ascii="仿宋" w:hAnsi="仿宋" w:eastAsia="仿宋"/>
                <w:color w:val="auto"/>
                <w:sz w:val="24"/>
              </w:rPr>
              <w:t>数据规模</w:t>
            </w:r>
          </w:p>
        </w:tc>
        <w:tc>
          <w:tcPr>
            <w:tcW w:w="1406" w:type="pct"/>
          </w:tcPr>
          <w:p w14:paraId="26756D86">
            <w:pPr>
              <w:pStyle w:val="43"/>
              <w:rPr>
                <w:rFonts w:ascii="仿宋" w:hAnsi="仿宋" w:eastAsia="仿宋"/>
                <w:color w:val="auto"/>
                <w:sz w:val="24"/>
              </w:rPr>
            </w:pPr>
            <w:r>
              <w:rPr>
                <w:rFonts w:ascii="仿宋" w:hAnsi="仿宋" w:eastAsia="仿宋"/>
                <w:color w:val="auto"/>
                <w:sz w:val="24"/>
              </w:rPr>
              <w:t>已超过PB级</w:t>
            </w:r>
          </w:p>
        </w:tc>
        <w:tc>
          <w:tcPr>
            <w:tcW w:w="2098" w:type="pct"/>
          </w:tcPr>
          <w:p w14:paraId="01F77581">
            <w:pPr>
              <w:pStyle w:val="43"/>
              <w:rPr>
                <w:rFonts w:ascii="仿宋" w:hAnsi="仿宋" w:eastAsia="仿宋"/>
                <w:color w:val="auto"/>
                <w:sz w:val="24"/>
              </w:rPr>
            </w:pPr>
            <w:r>
              <w:rPr>
                <w:rFonts w:ascii="仿宋" w:hAnsi="仿宋" w:eastAsia="仿宋"/>
                <w:color w:val="auto"/>
                <w:sz w:val="24"/>
              </w:rPr>
              <w:t>年增长量持续攀升</w:t>
            </w:r>
          </w:p>
        </w:tc>
      </w:tr>
    </w:tbl>
    <w:p w14:paraId="3C4FAA99">
      <w:pPr>
        <w:pStyle w:val="4"/>
        <w:rPr>
          <w:rFonts w:hint="eastAsia"/>
          <w:color w:val="auto"/>
        </w:rPr>
      </w:pPr>
      <w:bookmarkStart w:id="8" w:name="_Toc230106826"/>
      <w:r>
        <w:rPr>
          <w:rFonts w:hint="eastAsia"/>
          <w:color w:val="auto"/>
        </w:rPr>
        <w:t>现有应用系统的情况</w:t>
      </w:r>
      <w:bookmarkEnd w:id="8"/>
    </w:p>
    <w:p w14:paraId="5750876F">
      <w:pPr>
        <w:pStyle w:val="42"/>
        <w:jc w:val="both"/>
        <w:rPr>
          <w:rFonts w:hint="eastAsia"/>
          <w:color w:val="auto"/>
        </w:rPr>
      </w:pPr>
      <w:r>
        <w:rPr>
          <w:color w:val="auto"/>
        </w:rPr>
        <w:t>当前平台主要承载以下核心政务场景：</w:t>
      </w:r>
    </w:p>
    <w:p w14:paraId="4768995F">
      <w:pPr>
        <w:pStyle w:val="35"/>
        <w:widowControl/>
        <w:numPr>
          <w:ilvl w:val="0"/>
          <w:numId w:val="3"/>
        </w:numPr>
        <w:ind w:left="840" w:hanging="420"/>
        <w:contextualSpacing w:val="0"/>
        <w:rPr>
          <w:rFonts w:hint="eastAsia"/>
          <w:color w:val="auto"/>
        </w:rPr>
      </w:pPr>
      <w:r>
        <w:rPr>
          <w:rFonts w:ascii="仿宋" w:hAnsi="仿宋" w:cs="仿宋"/>
          <w:color w:val="auto"/>
        </w:rPr>
        <w:t>一网通办数据支撑：汇聚全区政务服务数据，为企业和市民提供在线办事服务的数据查询和校验服务，日均接口调用量较大。</w:t>
      </w:r>
    </w:p>
    <w:p w14:paraId="12D0A882">
      <w:pPr>
        <w:pStyle w:val="35"/>
        <w:widowControl/>
        <w:numPr>
          <w:ilvl w:val="0"/>
          <w:numId w:val="3"/>
        </w:numPr>
        <w:ind w:left="840" w:hanging="420"/>
        <w:contextualSpacing w:val="0"/>
        <w:rPr>
          <w:rFonts w:hint="eastAsia"/>
          <w:color w:val="auto"/>
        </w:rPr>
      </w:pPr>
      <w:r>
        <w:rPr>
          <w:rFonts w:hint="eastAsia" w:cs="仿宋"/>
          <w:color w:val="auto"/>
        </w:rPr>
        <w:t>数据资产</w:t>
      </w:r>
      <w:r>
        <w:rPr>
          <w:rFonts w:ascii="仿宋" w:hAnsi="仿宋" w:cs="仿宋"/>
          <w:color w:val="auto"/>
        </w:rPr>
        <w:t>：为区委区政府领导提供全区经济运行、社会治理、民生服务等核心指标的</w:t>
      </w:r>
      <w:r>
        <w:rPr>
          <w:rFonts w:hint="eastAsia" w:cs="仿宋"/>
          <w:color w:val="auto"/>
        </w:rPr>
        <w:t>汇总展示</w:t>
      </w:r>
      <w:r>
        <w:rPr>
          <w:rFonts w:ascii="仿宋" w:hAnsi="仿宋" w:cs="仿宋"/>
          <w:color w:val="auto"/>
        </w:rPr>
        <w:t>，对数据实时性和稳定性要求极高。</w:t>
      </w:r>
    </w:p>
    <w:p w14:paraId="69DD3248">
      <w:pPr>
        <w:pStyle w:val="35"/>
        <w:widowControl/>
        <w:numPr>
          <w:ilvl w:val="0"/>
          <w:numId w:val="3"/>
        </w:numPr>
        <w:ind w:left="840" w:hanging="420"/>
        <w:contextualSpacing w:val="0"/>
        <w:rPr>
          <w:rFonts w:hint="eastAsia"/>
          <w:color w:val="auto"/>
        </w:rPr>
      </w:pPr>
      <w:r>
        <w:rPr>
          <w:rFonts w:ascii="仿宋" w:hAnsi="仿宋" w:cs="仿宋"/>
          <w:color w:val="auto"/>
        </w:rPr>
        <w:t>委办局数据共享：承接公安、人社、市监、民政、住建等数十家委办局的数据汇聚、交换和共享，每日数据量持续增长。</w:t>
      </w:r>
    </w:p>
    <w:p w14:paraId="65DED0B1">
      <w:pPr>
        <w:pStyle w:val="35"/>
        <w:widowControl/>
        <w:numPr>
          <w:ilvl w:val="0"/>
          <w:numId w:val="3"/>
        </w:numPr>
        <w:ind w:left="840" w:hanging="420"/>
        <w:contextualSpacing w:val="0"/>
        <w:rPr>
          <w:rFonts w:hint="eastAsia"/>
          <w:color w:val="auto"/>
        </w:rPr>
      </w:pPr>
      <w:r>
        <w:rPr>
          <w:rFonts w:ascii="仿宋" w:hAnsi="仿宋" w:cs="仿宋"/>
          <w:color w:val="auto"/>
        </w:rPr>
        <w:t>夜间批处理任务：每日夜间（22:00—次日6:00）集中执行大量数据清洗、汇聚、统计分析任务，当前批处理时间窗口已趋于饱和。</w:t>
      </w:r>
    </w:p>
    <w:p w14:paraId="2FF8FCA7">
      <w:pPr>
        <w:pStyle w:val="35"/>
        <w:widowControl/>
        <w:numPr>
          <w:ilvl w:val="0"/>
          <w:numId w:val="3"/>
        </w:numPr>
        <w:ind w:left="840" w:hanging="420"/>
        <w:contextualSpacing w:val="0"/>
        <w:rPr>
          <w:rFonts w:hint="eastAsia"/>
          <w:color w:val="auto"/>
        </w:rPr>
      </w:pPr>
      <w:r>
        <w:rPr>
          <w:rFonts w:ascii="仿宋" w:hAnsi="仿宋" w:cs="仿宋"/>
          <w:color w:val="auto"/>
        </w:rPr>
        <w:t>数据治理与质量管理：对全区汇聚数据进行标准化、去重、校验等治理工作，任务处理量逐年递增。</w:t>
      </w:r>
    </w:p>
    <w:p w14:paraId="7E017126">
      <w:pPr>
        <w:pStyle w:val="35"/>
        <w:widowControl/>
        <w:numPr>
          <w:ilvl w:val="0"/>
          <w:numId w:val="3"/>
        </w:numPr>
        <w:ind w:left="840" w:hanging="420"/>
        <w:contextualSpacing w:val="0"/>
        <w:rPr>
          <w:rFonts w:hint="eastAsia"/>
          <w:color w:val="auto"/>
        </w:rPr>
      </w:pPr>
      <w:r>
        <w:rPr>
          <w:rFonts w:ascii="仿宋" w:hAnsi="仿宋" w:cs="仿宋"/>
          <w:color w:val="auto"/>
        </w:rPr>
        <w:t>数据开放服务：向社会开放部分公共数据，支撑产业数字化应用，接口稳定性要求较高。</w:t>
      </w:r>
    </w:p>
    <w:p w14:paraId="185EC0E2">
      <w:pPr>
        <w:pStyle w:val="35"/>
        <w:widowControl/>
        <w:numPr>
          <w:ilvl w:val="0"/>
          <w:numId w:val="3"/>
        </w:numPr>
        <w:ind w:left="840" w:hanging="420"/>
        <w:contextualSpacing w:val="0"/>
        <w:rPr>
          <w:rFonts w:hint="eastAsia"/>
          <w:color w:val="auto"/>
        </w:rPr>
      </w:pPr>
      <w:r>
        <w:rPr>
          <w:rFonts w:ascii="仿宋" w:hAnsi="仿宋" w:cs="仿宋"/>
          <w:color w:val="auto"/>
        </w:rPr>
        <w:t>联合查询与跨域分析：支撑多部门数据查询和关联分析，SQL复杂度持续提升。</w:t>
      </w:r>
    </w:p>
    <w:p w14:paraId="061A5E2B">
      <w:pPr>
        <w:pStyle w:val="4"/>
        <w:rPr>
          <w:rFonts w:hint="eastAsia"/>
          <w:color w:val="auto"/>
        </w:rPr>
      </w:pPr>
      <w:bookmarkStart w:id="9" w:name="_Toc230106827"/>
      <w:r>
        <w:rPr>
          <w:rFonts w:hint="eastAsia"/>
          <w:color w:val="auto"/>
        </w:rPr>
        <w:t>拟建项目与已有系统的关系</w:t>
      </w:r>
      <w:bookmarkEnd w:id="9"/>
    </w:p>
    <w:p w14:paraId="3C9B56B6">
      <w:pPr>
        <w:ind w:firstLine="420"/>
        <w:rPr>
          <w:rFonts w:hint="eastAsia"/>
          <w:color w:val="auto"/>
        </w:rPr>
      </w:pPr>
      <w:r>
        <w:rPr>
          <w:rFonts w:hint="eastAsia"/>
          <w:color w:val="auto"/>
        </w:rPr>
        <w:t>拟建项目严格遵循“平台升级、信创替代、安全合规、业务不停”四大核心原则，以已有系统为基础，立足现有架构布局、数据资源、业务场景，通过技术迭代、组件替换、架构优化实现平台能力跃升，同时确保与已有系统的无缝衔接、协同联动，既不破坏现有业务运行的稳定性，又能通过升级改造解决已有系统存在的技术瓶颈、信创适配不足、安全合规隐患等问题，形成“存量保留、增量升级、全面兼容、安全可控”的协同运行体系，具体关系描述如下：</w:t>
      </w:r>
    </w:p>
    <w:p w14:paraId="2E5A5BB6">
      <w:pPr>
        <w:ind w:firstLine="420"/>
        <w:rPr>
          <w:rFonts w:hint="eastAsia"/>
          <w:color w:val="auto"/>
        </w:rPr>
      </w:pPr>
      <w:r>
        <w:rPr>
          <w:rFonts w:hint="eastAsia"/>
          <w:color w:val="auto"/>
        </w:rPr>
        <w:t>在平台升级层面，拟建项目与已有系统是“继承延伸、迭代优化”的关系。本次升级并非对已有系统的全面推翻重建，而是基于已有大数据平台的核心架构、数据资产和业务流程，进行针对性的技术升级与能力拓展。对已有系统中运行稳定、适配业务需求、符合信创标准的核心组件予以保留并优化升级，提升其处理性能、扩展能力和运维效率；对已有系统中存在性能瓶颈、技术架构落后、难以适配业务增长需求的组件，通过技术迭代替换为更高效、更灵活、更具扩展性的新一代组件，实现平台整体架构的轻量化、集约化升级。同时，升级项目将兼容已有系统的接口规范、数据格式和业务逻辑，确保升级后平台能够无缝承接已有系统的全部业务场景，实现业务流程的平滑过渡，避免因升级导致的业务断层，延续已有系统的业务价值，同时赋予平台更强的大数据处理、分析和应用支撑能力，适配未来业务规模化、多元化发展需求。</w:t>
      </w:r>
    </w:p>
    <w:p w14:paraId="5B7D158E">
      <w:pPr>
        <w:ind w:firstLine="420"/>
        <w:rPr>
          <w:rFonts w:hint="eastAsia"/>
          <w:color w:val="auto"/>
        </w:rPr>
      </w:pPr>
      <w:r>
        <w:rPr>
          <w:rFonts w:hint="eastAsia"/>
          <w:color w:val="auto"/>
        </w:rPr>
        <w:t>在信创替代层面，拟建项目与已有系统是“替代适配、平滑过渡”的关系。针对已有系统中存在的非信创组件，本次升级项目将严格按照国家信创产业发展规划及相关政策要求，结合平台业务需求和技术适配性，分阶段、分模块推进信创替代工作，确保替代过程不影响业务正常运行。优先选择经过实践验证、性能稳定、生态完善的国产信创产品，对已有系统中的非信创核心组件进行替换。在替代过程中，通过兼容性测试、灰度部署、双轨运行等方式，确保信创组件与已有系统的剩余模块、数据资源、业务接口实现无缝适配，保障数据流转的连续性和业务运行的稳定性，同时建立信创组件与已有系统的协同运行机制，逐步实现全平台信创化覆盖，彻底解决已有系统信创适配不足、技术依赖进口的痛点，提升平台技术自主可控水平。</w:t>
      </w:r>
    </w:p>
    <w:p w14:paraId="68B0CA84">
      <w:pPr>
        <w:ind w:firstLine="420"/>
        <w:rPr>
          <w:rFonts w:hint="eastAsia"/>
          <w:color w:val="auto"/>
        </w:rPr>
      </w:pPr>
      <w:r>
        <w:rPr>
          <w:rFonts w:hint="eastAsia"/>
          <w:color w:val="auto"/>
        </w:rPr>
        <w:t>在安全合规层面，拟建项目与已有系统是“补齐短板、全面强化”的关系。本次升级项目将以《中华人民共和国数据安全法》《中华人民共和国个人信息保护法》《关键信息基础设施安全保护条例》等法律法规为遵循，针对已有系统在安全防护、合规管理方面存在的短板，进行系统性优化升级。</w:t>
      </w:r>
    </w:p>
    <w:p w14:paraId="6156134D">
      <w:pPr>
        <w:ind w:firstLine="420"/>
        <w:rPr>
          <w:rFonts w:hint="eastAsia"/>
          <w:color w:val="auto"/>
        </w:rPr>
      </w:pPr>
      <w:r>
        <w:rPr>
          <w:rFonts w:hint="eastAsia"/>
          <w:color w:val="auto"/>
        </w:rPr>
        <w:t>在业务不停层面，拟建项目与已有系统是“并行运行、无缝切换”的关系。本次升级项目全程坚持“业务不停机、服务不中断”的核心要求，采用“热升级”“灰度部署”“双轨运行”等技术手段，实现升级过程与已有系统业务运行的并行推进，彻底避免因平台升级导致的业务中断问题。</w:t>
      </w:r>
    </w:p>
    <w:p w14:paraId="3E2F59A6">
      <w:pPr>
        <w:pStyle w:val="4"/>
        <w:rPr>
          <w:rFonts w:hint="eastAsia"/>
          <w:color w:val="auto"/>
        </w:rPr>
      </w:pPr>
      <w:bookmarkStart w:id="10" w:name="_Toc230106828"/>
      <w:r>
        <w:rPr>
          <w:rFonts w:hint="eastAsia"/>
          <w:color w:val="auto"/>
        </w:rPr>
        <w:t>建设必要性分析</w:t>
      </w:r>
      <w:bookmarkEnd w:id="10"/>
    </w:p>
    <w:p w14:paraId="398F05A1">
      <w:pPr>
        <w:pStyle w:val="35"/>
        <w:numPr>
          <w:ilvl w:val="0"/>
          <w:numId w:val="4"/>
        </w:numPr>
        <w:rPr>
          <w:rFonts w:hint="eastAsia" w:ascii="仿宋" w:hAnsi="仿宋" w:cs="仿宋"/>
          <w:color w:val="auto"/>
          <w:kern w:val="0"/>
          <w14:ligatures w14:val="none"/>
        </w:rPr>
      </w:pPr>
      <w:r>
        <w:rPr>
          <w:rFonts w:ascii="仿宋" w:hAnsi="仿宋" w:cs="仿宋"/>
          <w:color w:val="auto"/>
          <w:kern w:val="0"/>
          <w14:ligatures w14:val="none"/>
        </w:rPr>
        <w:t>满足数据安全与合规要求的必要性</w:t>
      </w:r>
    </w:p>
    <w:p w14:paraId="3ED7C08A">
      <w:pPr>
        <w:pStyle w:val="42"/>
        <w:jc w:val="both"/>
        <w:rPr>
          <w:rFonts w:hint="eastAsia"/>
          <w:color w:val="auto"/>
        </w:rPr>
      </w:pPr>
      <w:r>
        <w:rPr>
          <w:color w:val="auto"/>
        </w:rPr>
        <w:t>当前，国家对政务数据安全和合规的要求达到了前所未有的高度。密评合规、信创改造、数据分类分级保护，均是政务信息系统必须满足的硬性要求，且整改节点临近。现有平台在上述方面存在较大差距，继续在不合规状态下运行，不仅面临上级检查和审计的合规风险，一旦发生数据安全事件，将面临更为严重的法律责任和政治后果。因此，启动平台升级改造，从根本上解决安全合规问题，是当前最为紧迫的工作任务之一。</w:t>
      </w:r>
    </w:p>
    <w:p w14:paraId="760239CF">
      <w:pPr>
        <w:pStyle w:val="35"/>
        <w:numPr>
          <w:ilvl w:val="0"/>
          <w:numId w:val="4"/>
        </w:numPr>
        <w:rPr>
          <w:rFonts w:hint="eastAsia" w:ascii="仿宋" w:hAnsi="仿宋" w:cs="仿宋"/>
          <w:color w:val="auto"/>
          <w:kern w:val="0"/>
          <w14:ligatures w14:val="none"/>
        </w:rPr>
      </w:pPr>
      <w:r>
        <w:rPr>
          <w:rFonts w:ascii="仿宋" w:hAnsi="仿宋" w:cs="仿宋"/>
          <w:color w:val="auto"/>
          <w:kern w:val="0"/>
          <w14:ligatures w14:val="none"/>
        </w:rPr>
        <w:t>保障政务数据业务连续性的必要性</w:t>
      </w:r>
    </w:p>
    <w:p w14:paraId="4E70A592">
      <w:pPr>
        <w:pStyle w:val="42"/>
        <w:jc w:val="both"/>
        <w:rPr>
          <w:rFonts w:hint="eastAsia"/>
          <w:color w:val="auto"/>
        </w:rPr>
      </w:pPr>
      <w:r>
        <w:rPr>
          <w:color w:val="auto"/>
        </w:rPr>
        <w:t>浦东新区大数据平台是"一网通办"、领导驾驶舱、跨部门数据共享等核心政务系统的底层数据支撑。随着存储使用率趋近上限、批处理时间窗口趋于饱和、接口并发能力趋于瓶颈，平台正面临越来越高的业务中断风险。一旦平台发生重大故障或数据服务中断，将直接影响市民在线办事、政府决策辅助、部门间数据协同等核心功能，造成难以挽回的负面影响。</w:t>
      </w:r>
    </w:p>
    <w:p w14:paraId="528CB71E">
      <w:pPr>
        <w:pStyle w:val="35"/>
        <w:numPr>
          <w:ilvl w:val="0"/>
          <w:numId w:val="4"/>
        </w:numPr>
        <w:rPr>
          <w:rFonts w:hint="eastAsia" w:ascii="仿宋" w:hAnsi="仿宋" w:cs="仿宋"/>
          <w:color w:val="auto"/>
          <w:kern w:val="0"/>
          <w14:ligatures w14:val="none"/>
        </w:rPr>
      </w:pPr>
      <w:r>
        <w:rPr>
          <w:rFonts w:ascii="仿宋" w:hAnsi="仿宋" w:cs="仿宋"/>
          <w:color w:val="auto"/>
          <w:kern w:val="0"/>
          <w14:ligatures w14:val="none"/>
        </w:rPr>
        <w:t>支撑未来AI场景建设的必要性</w:t>
      </w:r>
    </w:p>
    <w:p w14:paraId="7B59D502">
      <w:pPr>
        <w:pStyle w:val="42"/>
        <w:jc w:val="both"/>
        <w:rPr>
          <w:rFonts w:hint="eastAsia"/>
          <w:color w:val="auto"/>
        </w:rPr>
      </w:pPr>
      <w:r>
        <w:rPr>
          <w:color w:val="auto"/>
        </w:rPr>
        <w:t>当前，人工智能与政务大数据的深度融合已成为不可逆的发展趋势。浦东新区正在积极推进AI辅助治理、智能决策支持、大模型应用等前沿领域的探索，这些新型AI应用场景对底层数据平台提出了向量计算、高维数据处理、模型推理等新型能力要求，而现有平台的技术架构根本无法支撑上述能力的建设，成为全区AI战略推进的重大瓶颈。</w:t>
      </w:r>
    </w:p>
    <w:p w14:paraId="404DA922">
      <w:pPr>
        <w:pStyle w:val="35"/>
        <w:numPr>
          <w:ilvl w:val="0"/>
          <w:numId w:val="4"/>
        </w:numPr>
        <w:rPr>
          <w:rFonts w:hint="eastAsia" w:ascii="仿宋" w:hAnsi="仿宋" w:cs="仿宋"/>
          <w:color w:val="auto"/>
          <w:kern w:val="0"/>
          <w14:ligatures w14:val="none"/>
        </w:rPr>
      </w:pPr>
      <w:r>
        <w:rPr>
          <w:rFonts w:ascii="仿宋" w:hAnsi="仿宋" w:cs="仿宋"/>
          <w:color w:val="auto"/>
          <w:kern w:val="0"/>
          <w14:ligatures w14:val="none"/>
        </w:rPr>
        <w:t>降低运维风险和人员依赖的必要性</w:t>
      </w:r>
    </w:p>
    <w:p w14:paraId="7E5E5D7B">
      <w:pPr>
        <w:pStyle w:val="42"/>
        <w:jc w:val="both"/>
        <w:rPr>
          <w:rFonts w:hint="eastAsia"/>
          <w:color w:val="auto"/>
        </w:rPr>
      </w:pPr>
      <w:r>
        <w:rPr>
          <w:color w:val="auto"/>
        </w:rPr>
        <w:t>当前平台的高度运维复杂性使得平台运行对核心运维人员的专业技能高度依赖，一旦关键运维人员离职或长期休假，将对平台的日常运行保障能力产生重大影响。随着平台持续运行，运维文档和知识传承工作也面临严峻挑战。通过升级到架构更简洁、运维更友好的新平台，可以从根本上降低运维复杂度和人员依赖风险。</w:t>
      </w:r>
    </w:p>
    <w:p w14:paraId="0535399D">
      <w:pPr>
        <w:pStyle w:val="42"/>
        <w:rPr>
          <w:color w:val="auto"/>
        </w:rPr>
      </w:pPr>
      <w:r>
        <w:rPr>
          <w:color w:val="auto"/>
        </w:rPr>
        <w:t>核心结论：无论从安全合规、业务保障、技术演进还是风险防控的角度分析，浦东新区大数据平台的升级改造均具有高度的必要性，是当前阶段必须推进的重要工作。</w:t>
      </w:r>
    </w:p>
    <w:p w14:paraId="1028030E">
      <w:pPr>
        <w:widowControl/>
        <w:spacing w:line="240" w:lineRule="auto"/>
        <w:rPr>
          <w:rFonts w:hint="eastAsia" w:ascii="仿宋" w:hAnsi="仿宋" w:cs="仿宋"/>
          <w:color w:val="auto"/>
          <w:kern w:val="0"/>
          <w14:ligatures w14:val="none"/>
        </w:rPr>
      </w:pPr>
      <w:r>
        <w:rPr>
          <w:rFonts w:hint="eastAsia"/>
          <w:color w:val="auto"/>
        </w:rPr>
        <w:br w:type="page"/>
      </w:r>
    </w:p>
    <w:p w14:paraId="65EFEE4F">
      <w:pPr>
        <w:pStyle w:val="2"/>
        <w:rPr>
          <w:rFonts w:hint="eastAsia"/>
          <w:color w:val="auto"/>
        </w:rPr>
      </w:pPr>
      <w:bookmarkStart w:id="11" w:name="_Toc230106829"/>
      <w:r>
        <w:rPr>
          <w:rFonts w:hint="eastAsia"/>
          <w:color w:val="auto"/>
        </w:rPr>
        <w:t>需求分析</w:t>
      </w:r>
      <w:bookmarkEnd w:id="11"/>
    </w:p>
    <w:p w14:paraId="40964855">
      <w:pPr>
        <w:pStyle w:val="3"/>
        <w:rPr>
          <w:rFonts w:hint="eastAsia"/>
          <w:color w:val="auto"/>
        </w:rPr>
      </w:pPr>
      <w:bookmarkStart w:id="12" w:name="_Toc230106830"/>
      <w:r>
        <w:rPr>
          <w:rFonts w:hint="eastAsia"/>
          <w:color w:val="auto"/>
        </w:rPr>
        <w:t>业务需求</w:t>
      </w:r>
      <w:bookmarkEnd w:id="12"/>
    </w:p>
    <w:p w14:paraId="6061B37A">
      <w:pPr>
        <w:pStyle w:val="4"/>
        <w:rPr>
          <w:rFonts w:hint="eastAsia"/>
          <w:color w:val="auto"/>
        </w:rPr>
      </w:pPr>
      <w:bookmarkStart w:id="13" w:name="_Toc230106831"/>
      <w:r>
        <w:rPr>
          <w:rFonts w:hint="eastAsia"/>
          <w:color w:val="auto"/>
        </w:rPr>
        <w:t>业务现状、存在的具体问题和业务目标</w:t>
      </w:r>
      <w:bookmarkEnd w:id="13"/>
    </w:p>
    <w:p w14:paraId="1F2F3DEB">
      <w:pPr>
        <w:pStyle w:val="5"/>
        <w:rPr>
          <w:rFonts w:hint="eastAsia"/>
          <w:color w:val="auto"/>
        </w:rPr>
      </w:pPr>
      <w:r>
        <w:rPr>
          <w:color w:val="auto"/>
        </w:rPr>
        <w:t>技术架构老化，性能瓶颈突出</w:t>
      </w:r>
    </w:p>
    <w:p w14:paraId="726717BE">
      <w:pPr>
        <w:pStyle w:val="42"/>
        <w:jc w:val="both"/>
        <w:rPr>
          <w:rFonts w:hint="eastAsia"/>
          <w:color w:val="auto"/>
        </w:rPr>
      </w:pPr>
      <w:r>
        <w:rPr>
          <w:color w:val="auto"/>
          <w:szCs w:val="22"/>
        </w:rPr>
        <w:t>TDH 6.2版本已运行多年，内核组件版本滞后，无法充分利用新一代CPU、NVMe SSD等硬件红利。Inceptor SQL引擎在面对海量宽表关联、复杂分析查询场景时，执行效率与ArgoDB 6.2等新一代HTAP引擎相比存在数倍甚至数十倍的差距。在领导驾驶舱、跨部门数据联动分析等高并发查询场景下，系统响应延迟已无法满足业务要求。</w:t>
      </w:r>
    </w:p>
    <w:p w14:paraId="7806B6C7">
      <w:pPr>
        <w:pStyle w:val="5"/>
        <w:rPr>
          <w:rFonts w:hint="eastAsia"/>
          <w:color w:val="auto"/>
        </w:rPr>
      </w:pPr>
      <w:r>
        <w:rPr>
          <w:color w:val="auto"/>
        </w:rPr>
        <w:t>信创合规要求迫切</w:t>
      </w:r>
    </w:p>
    <w:p w14:paraId="349ED9B8">
      <w:pPr>
        <w:pStyle w:val="42"/>
        <w:jc w:val="both"/>
        <w:rPr>
          <w:rFonts w:hint="eastAsia"/>
          <w:color w:val="auto"/>
        </w:rPr>
      </w:pPr>
      <w:r>
        <w:rPr>
          <w:color w:val="auto"/>
          <w:szCs w:val="22"/>
        </w:rPr>
        <w:t>国家及上海市对政务信息系统国产化替代提出了明确的时间节点要求。现有平台基于X86架构，在关键软硬件国产化方面存在明显短板。平台需完成向ARM国产CPU（飞腾/鲲鹏等）及国产操作系统（麒麟/统信等）的迁移，以满足信创合规要求。</w:t>
      </w:r>
    </w:p>
    <w:p w14:paraId="4D133133">
      <w:pPr>
        <w:pStyle w:val="5"/>
        <w:rPr>
          <w:rFonts w:hint="eastAsia"/>
          <w:color w:val="auto"/>
        </w:rPr>
      </w:pPr>
      <w:r>
        <w:rPr>
          <w:color w:val="auto"/>
        </w:rPr>
        <w:t>安全能力不足</w:t>
      </w:r>
    </w:p>
    <w:p w14:paraId="745344B2">
      <w:pPr>
        <w:pStyle w:val="42"/>
        <w:jc w:val="both"/>
        <w:rPr>
          <w:rFonts w:hint="eastAsia"/>
          <w:color w:val="auto"/>
        </w:rPr>
      </w:pPr>
      <w:r>
        <w:rPr>
          <w:color w:val="auto"/>
          <w:szCs w:val="22"/>
        </w:rPr>
        <w:t>现有平台在数据透明加密、国产密码算法（SM2/SM3/SM4）应用、密钥管理等方面存在能力缺失，无法满足等保三级和密码应用安全评估（密评）的相关要求。统一身份认证、细粒度权限管控、全链路审计日志等安全能力亦有待加强。</w:t>
      </w:r>
    </w:p>
    <w:p w14:paraId="397F5255">
      <w:pPr>
        <w:pStyle w:val="5"/>
        <w:rPr>
          <w:rFonts w:hint="eastAsia"/>
          <w:color w:val="auto"/>
        </w:rPr>
      </w:pPr>
      <w:r>
        <w:rPr>
          <w:color w:val="auto"/>
        </w:rPr>
        <w:t>高可用架构存在风险</w:t>
      </w:r>
    </w:p>
    <w:p w14:paraId="64864F7C">
      <w:pPr>
        <w:pStyle w:val="42"/>
        <w:jc w:val="both"/>
        <w:rPr>
          <w:rFonts w:hint="eastAsia"/>
          <w:color w:val="auto"/>
        </w:rPr>
      </w:pPr>
      <w:r>
        <w:rPr>
          <w:color w:val="auto"/>
          <w:szCs w:val="22"/>
        </w:rPr>
        <w:t>现有平台缺乏完善的双活容灾机制，在发生硬件故障、软件异常等情况下，关键业务的连续性保障能力有限。夜间批量处理任务与在线分析查询之间存在资源竞争，缺乏有效的多租户资源隔离机制。</w:t>
      </w:r>
    </w:p>
    <w:p w14:paraId="0FA42244">
      <w:pPr>
        <w:pStyle w:val="42"/>
        <w:jc w:val="both"/>
        <w:rPr>
          <w:rFonts w:hint="eastAsia"/>
          <w:color w:val="auto"/>
        </w:rPr>
      </w:pPr>
      <w:r>
        <w:rPr>
          <w:color w:val="auto"/>
        </w:rPr>
        <w:t>当前平台的核心分析引擎Inceptor基于Hadoop MapReduce架构演化而来，采用批处理为主的计算模型，其设计理念与当下政务大数据平台所需的"实时+离线一体化"分析需求存在根本性差距。随着政务业务对数据分析实时性要求的不断提升，现有架构已无法有效支撑秒级响应的实时分析场景，导致领导驾驶舱等核心系统的数据时效性受限，实际业务价值大打折扣。</w:t>
      </w:r>
    </w:p>
    <w:p w14:paraId="26C3327E">
      <w:pPr>
        <w:spacing w:before="80" w:after="80"/>
        <w:ind w:firstLine="480" w:firstLineChars="200"/>
        <w:rPr>
          <w:rFonts w:hint="eastAsia"/>
          <w:color w:val="auto"/>
        </w:rPr>
      </w:pPr>
      <w:r>
        <w:rPr>
          <w:rFonts w:ascii="仿宋" w:hAnsi="仿宋" w:cs="仿宋"/>
          <w:color w:val="auto"/>
        </w:rPr>
        <w:t>若当前运行能力问题不加以解决，随着业务量进一步提升，平台将面临更频繁的超时、宕机等异常，严重时将导致"一网通办"数据服务中断，影响市民办事体验，引发媒体和舆论关注。</w:t>
      </w:r>
    </w:p>
    <w:p w14:paraId="2974D08F">
      <w:pPr>
        <w:pStyle w:val="5"/>
        <w:rPr>
          <w:rFonts w:hint="eastAsia"/>
          <w:color w:val="auto"/>
        </w:rPr>
      </w:pPr>
      <w:r>
        <w:rPr>
          <w:color w:val="auto"/>
        </w:rPr>
        <w:t>资源瓶颈问题</w:t>
      </w:r>
    </w:p>
    <w:p w14:paraId="0171CE0D">
      <w:pPr>
        <w:pStyle w:val="42"/>
        <w:jc w:val="both"/>
        <w:rPr>
          <w:rFonts w:hint="eastAsia"/>
          <w:color w:val="auto"/>
        </w:rPr>
      </w:pPr>
      <w:r>
        <w:rPr>
          <w:color w:val="auto"/>
        </w:rPr>
        <w:t>如前所述，平台存储使用率已达85%，CPU和内存在高峰时段的压力尤为突出。当前节点规模为19个，在现有架构下扩容面临较大限制：一方面，X86物理机的扩容需要较长的采购、安装、调试周期；另一方面，Hadoop架构的横向扩展效率较低，新节点加入后数据均衡（Rebalance）过程耗时长，期间对整体平台性能产生明显影响。</w:t>
      </w:r>
    </w:p>
    <w:p w14:paraId="05FA82DF">
      <w:pPr>
        <w:pStyle w:val="42"/>
        <w:jc w:val="both"/>
        <w:rPr>
          <w:rFonts w:hint="eastAsia"/>
          <w:color w:val="auto"/>
        </w:rPr>
      </w:pPr>
      <w:r>
        <w:rPr>
          <w:color w:val="auto"/>
        </w:rPr>
        <w:t>尤其值得关注的是，在多租户场景（多个委办局同时使用平台资源）下，各业务之间的资源竞争问题日益凸显，缺乏有效的资源隔离机制，导致优先级较高的任务被低优先级任务"抢占"资源，核心业务无法得到有效保障。</w:t>
      </w:r>
    </w:p>
    <w:p w14:paraId="767B56B0">
      <w:pPr>
        <w:pStyle w:val="5"/>
        <w:rPr>
          <w:rFonts w:hint="eastAsia"/>
          <w:color w:val="auto"/>
        </w:rPr>
      </w:pPr>
      <w:r>
        <w:rPr>
          <w:color w:val="auto"/>
        </w:rPr>
        <w:t>实时分析能力不足</w:t>
      </w:r>
    </w:p>
    <w:p w14:paraId="74B993AE">
      <w:pPr>
        <w:pStyle w:val="42"/>
        <w:jc w:val="both"/>
        <w:rPr>
          <w:rFonts w:hint="eastAsia"/>
          <w:color w:val="auto"/>
        </w:rPr>
      </w:pPr>
      <w:r>
        <w:rPr>
          <w:color w:val="auto"/>
        </w:rPr>
        <w:t>随着全区"数字治理"深入推进，对数据的实时处理和分析需求快速增长。领导驾驶舱要求数据5分钟内更新，公安、交通等部门要求秒级数据响应，而当前Inceptor引擎本质上是面向批处理的计算框架，实时流处理能力极为有限，难以满足上述实时分析需求。虽然平台引入了部分流处理组件（如Kafka、</w:t>
      </w:r>
      <w:r>
        <w:rPr>
          <w:rFonts w:hint="eastAsia"/>
          <w:color w:val="auto"/>
        </w:rPr>
        <w:t>Slipstream</w:t>
      </w:r>
      <w:r>
        <w:rPr>
          <w:color w:val="auto"/>
        </w:rPr>
        <w:t>），但与主引擎的集成度不高，形成明显的架构割裂，导致数据一致性和管理复杂度双重问题。</w:t>
      </w:r>
    </w:p>
    <w:p w14:paraId="0E6370D3">
      <w:pPr>
        <w:pStyle w:val="5"/>
        <w:rPr>
          <w:rFonts w:hint="eastAsia"/>
          <w:color w:val="auto"/>
        </w:rPr>
      </w:pPr>
      <w:r>
        <w:rPr>
          <w:color w:val="auto"/>
        </w:rPr>
        <w:t>SQL复杂度持续攀升带来的性能压力</w:t>
      </w:r>
    </w:p>
    <w:p w14:paraId="17EC16D0">
      <w:pPr>
        <w:pStyle w:val="42"/>
        <w:jc w:val="both"/>
        <w:rPr>
          <w:rFonts w:hint="eastAsia"/>
          <w:color w:val="auto"/>
        </w:rPr>
      </w:pPr>
      <w:r>
        <w:rPr>
          <w:color w:val="auto"/>
        </w:rPr>
        <w:t>随着各委办局数据治理能力的提升和数据分析需求的深化，平台所承载的SQL任务复杂度持续攀升，多表关联查询、嵌套子查询、窗口函数、分组统计等复杂SQL的比例大幅增加。Inceptor在处理这类复杂SQL时，其查询优化器和执行引擎的效率明显低于现代MPP数据库引擎，导致部分复杂查询的执行时间过长，严重影响上层业务系统的响应速度。</w:t>
      </w:r>
    </w:p>
    <w:p w14:paraId="5733D9F7">
      <w:pPr>
        <w:pStyle w:val="5"/>
        <w:rPr>
          <w:rFonts w:hint="eastAsia"/>
          <w:color w:val="auto"/>
        </w:rPr>
      </w:pPr>
      <w:r>
        <w:rPr>
          <w:color w:val="auto"/>
        </w:rPr>
        <w:t>安全合规存在较大差距</w:t>
      </w:r>
    </w:p>
    <w:p w14:paraId="7B3DBF9B">
      <w:pPr>
        <w:pStyle w:val="42"/>
        <w:jc w:val="both"/>
        <w:rPr>
          <w:rFonts w:hint="eastAsia"/>
          <w:color w:val="auto"/>
        </w:rPr>
      </w:pPr>
      <w:r>
        <w:rPr>
          <w:color w:val="auto"/>
        </w:rPr>
        <w:t>当前平台在安全合规方面存在以下主要缺口：其一，平台数据加密机制不健全，缺乏透明加密和密钥管理系统（KMS）的有效支撑，数据在存储和传输过程中存在安全隐患；其</w:t>
      </w:r>
      <w:r>
        <w:rPr>
          <w:rFonts w:hint="eastAsia"/>
          <w:color w:val="auto"/>
        </w:rPr>
        <w:t>二</w:t>
      </w:r>
      <w:r>
        <w:rPr>
          <w:color w:val="auto"/>
        </w:rPr>
        <w:t>，平台尚未完成信创改造，核心组件依赖境外技术栈，面临供应链安全风险。</w:t>
      </w:r>
    </w:p>
    <w:p w14:paraId="0AEC8636">
      <w:pPr>
        <w:pStyle w:val="5"/>
        <w:rPr>
          <w:rFonts w:hint="eastAsia"/>
          <w:color w:val="auto"/>
        </w:rPr>
      </w:pPr>
      <w:r>
        <w:rPr>
          <w:color w:val="auto"/>
        </w:rPr>
        <w:t>运维复杂度居高不下</w:t>
      </w:r>
    </w:p>
    <w:p w14:paraId="2EE5847C">
      <w:pPr>
        <w:pStyle w:val="42"/>
        <w:jc w:val="both"/>
        <w:rPr>
          <w:rFonts w:hint="eastAsia"/>
          <w:color w:val="auto"/>
        </w:rPr>
      </w:pPr>
      <w:r>
        <w:rPr>
          <w:color w:val="auto"/>
        </w:rPr>
        <w:t>当前平台由Hadoop生态构建，涉及HDFS、YARN、Hive、Inceptor、HBase、Spark、ZooKeeper、Kafka等十余个核心组件，各组件版本管理、配置调优、日志分析等工作均需专业运维人员介入。随着业务的持续扩展，运维工作量呈指数级增长，而现有运维团队规模有限，人员压力较大，存在因运维人员离职而导致平台运维能力断档的较大风险。</w:t>
      </w:r>
    </w:p>
    <w:p w14:paraId="36184BBC">
      <w:pPr>
        <w:pStyle w:val="5"/>
        <w:rPr>
          <w:rFonts w:hint="eastAsia"/>
          <w:color w:val="auto"/>
        </w:rPr>
      </w:pPr>
      <w:r>
        <w:rPr>
          <w:color w:val="auto"/>
        </w:rPr>
        <w:t>故障恢复效率低下</w:t>
      </w:r>
    </w:p>
    <w:p w14:paraId="5D1E3819">
      <w:pPr>
        <w:ind w:firstLine="420"/>
        <w:rPr>
          <w:rFonts w:hint="eastAsia"/>
          <w:color w:val="auto"/>
        </w:rPr>
      </w:pPr>
      <w:r>
        <w:rPr>
          <w:rFonts w:ascii="仿宋" w:hAnsi="仿宋" w:cs="仿宋"/>
          <w:color w:val="auto"/>
        </w:rPr>
        <w:t>由于平台组件繁多、依赖关系复杂，一旦发生故障，问题定位通常需要跨越多个日志系统、多个监控维度进行综合分析，故障定位周期长、难度大。在政务数据"7×24小时"不间断服务的要求下，这一恢复效率难以接受，严重影响平台服务水平。</w:t>
      </w:r>
    </w:p>
    <w:p w14:paraId="6B5AF7E3">
      <w:pPr>
        <w:pStyle w:val="4"/>
        <w:rPr>
          <w:rFonts w:hint="eastAsia"/>
          <w:color w:val="auto"/>
        </w:rPr>
      </w:pPr>
      <w:bookmarkStart w:id="14" w:name="_Toc230106832"/>
      <w:r>
        <w:rPr>
          <w:rFonts w:hint="eastAsia"/>
          <w:color w:val="auto"/>
        </w:rPr>
        <w:t>实施该项目与解决业务问题、实现业务目标的关系</w:t>
      </w:r>
      <w:bookmarkEnd w:id="14"/>
    </w:p>
    <w:p w14:paraId="1BE4B362">
      <w:pPr>
        <w:pStyle w:val="5"/>
        <w:rPr>
          <w:rFonts w:hint="eastAsia"/>
          <w:color w:val="auto"/>
        </w:rPr>
      </w:pPr>
      <w:r>
        <w:rPr>
          <w:color w:val="auto"/>
        </w:rPr>
        <w:t>性能收益</w:t>
      </w:r>
    </w:p>
    <w:p w14:paraId="2FC26A14">
      <w:pPr>
        <w:pStyle w:val="42"/>
        <w:jc w:val="both"/>
        <w:rPr>
          <w:rFonts w:hint="eastAsia"/>
          <w:color w:val="auto"/>
        </w:rPr>
      </w:pPr>
      <w:r>
        <w:rPr>
          <w:color w:val="auto"/>
        </w:rPr>
        <w:t>基于真实测试数据，平台升级改造后，预期在以下性能指标方面取得显著提升：</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4"/>
        <w:gridCol w:w="1747"/>
        <w:gridCol w:w="2320"/>
        <w:gridCol w:w="2131"/>
      </w:tblGrid>
      <w:tr w14:paraId="07D6D986">
        <w:tc>
          <w:tcPr>
            <w:tcW w:w="1364" w:type="pct"/>
          </w:tcPr>
          <w:p w14:paraId="506C52F0">
            <w:pPr>
              <w:pStyle w:val="43"/>
              <w:jc w:val="center"/>
              <w:rPr>
                <w:rFonts w:ascii="仿宋" w:hAnsi="仿宋" w:eastAsia="仿宋"/>
                <w:b/>
                <w:color w:val="auto"/>
                <w:sz w:val="24"/>
              </w:rPr>
            </w:pPr>
            <w:r>
              <w:rPr>
                <w:rFonts w:ascii="仿宋" w:hAnsi="仿宋" w:eastAsia="仿宋"/>
                <w:b/>
                <w:color w:val="auto"/>
                <w:sz w:val="24"/>
              </w:rPr>
              <w:t>收益项目</w:t>
            </w:r>
          </w:p>
        </w:tc>
        <w:tc>
          <w:tcPr>
            <w:tcW w:w="1025" w:type="pct"/>
          </w:tcPr>
          <w:p w14:paraId="66B69A93">
            <w:pPr>
              <w:pStyle w:val="43"/>
              <w:jc w:val="center"/>
              <w:rPr>
                <w:rFonts w:ascii="仿宋" w:hAnsi="仿宋" w:eastAsia="仿宋"/>
                <w:b/>
                <w:color w:val="auto"/>
                <w:sz w:val="24"/>
              </w:rPr>
            </w:pPr>
            <w:r>
              <w:rPr>
                <w:rFonts w:ascii="仿宋" w:hAnsi="仿宋" w:eastAsia="仿宋"/>
                <w:b/>
                <w:color w:val="auto"/>
                <w:sz w:val="24"/>
              </w:rPr>
              <w:t>当前状态</w:t>
            </w:r>
          </w:p>
        </w:tc>
        <w:tc>
          <w:tcPr>
            <w:tcW w:w="1361" w:type="pct"/>
          </w:tcPr>
          <w:p w14:paraId="0654EDFF">
            <w:pPr>
              <w:pStyle w:val="43"/>
              <w:jc w:val="center"/>
              <w:rPr>
                <w:rFonts w:ascii="仿宋" w:hAnsi="仿宋" w:eastAsia="仿宋"/>
                <w:b/>
                <w:color w:val="auto"/>
                <w:sz w:val="24"/>
              </w:rPr>
            </w:pPr>
            <w:r>
              <w:rPr>
                <w:rFonts w:ascii="仿宋" w:hAnsi="仿宋" w:eastAsia="仿宋"/>
                <w:b/>
                <w:color w:val="auto"/>
                <w:sz w:val="24"/>
              </w:rPr>
              <w:t>升级后预期</w:t>
            </w:r>
          </w:p>
        </w:tc>
        <w:tc>
          <w:tcPr>
            <w:tcW w:w="1250" w:type="pct"/>
          </w:tcPr>
          <w:p w14:paraId="033AF508">
            <w:pPr>
              <w:pStyle w:val="43"/>
              <w:jc w:val="center"/>
              <w:rPr>
                <w:rFonts w:ascii="仿宋" w:hAnsi="仿宋" w:eastAsia="仿宋"/>
                <w:b/>
                <w:color w:val="auto"/>
                <w:sz w:val="24"/>
              </w:rPr>
            </w:pPr>
            <w:r>
              <w:rPr>
                <w:rFonts w:ascii="仿宋" w:hAnsi="仿宋" w:eastAsia="仿宋"/>
                <w:b/>
                <w:color w:val="auto"/>
                <w:sz w:val="24"/>
              </w:rPr>
              <w:t>提升幅度</w:t>
            </w:r>
          </w:p>
        </w:tc>
      </w:tr>
      <w:tr w14:paraId="40B21105">
        <w:tc>
          <w:tcPr>
            <w:tcW w:w="1364" w:type="pct"/>
          </w:tcPr>
          <w:p w14:paraId="5863A433">
            <w:pPr>
              <w:pStyle w:val="43"/>
              <w:rPr>
                <w:rFonts w:ascii="仿宋" w:hAnsi="仿宋" w:eastAsia="仿宋"/>
                <w:color w:val="auto"/>
                <w:sz w:val="24"/>
              </w:rPr>
            </w:pPr>
            <w:r>
              <w:rPr>
                <w:rFonts w:ascii="仿宋" w:hAnsi="仿宋" w:eastAsia="仿宋"/>
                <w:color w:val="auto"/>
                <w:sz w:val="24"/>
              </w:rPr>
              <w:t>SQL平均查询性能</w:t>
            </w:r>
          </w:p>
        </w:tc>
        <w:tc>
          <w:tcPr>
            <w:tcW w:w="1025" w:type="pct"/>
          </w:tcPr>
          <w:p w14:paraId="019F240B">
            <w:pPr>
              <w:pStyle w:val="43"/>
              <w:jc w:val="center"/>
              <w:rPr>
                <w:rFonts w:ascii="仿宋" w:hAnsi="仿宋" w:eastAsia="仿宋"/>
                <w:color w:val="auto"/>
                <w:sz w:val="24"/>
              </w:rPr>
            </w:pPr>
            <w:r>
              <w:rPr>
                <w:rFonts w:ascii="仿宋" w:hAnsi="仿宋" w:eastAsia="仿宋"/>
                <w:color w:val="auto"/>
                <w:sz w:val="24"/>
              </w:rPr>
              <w:t>基准值</w:t>
            </w:r>
          </w:p>
        </w:tc>
        <w:tc>
          <w:tcPr>
            <w:tcW w:w="1361" w:type="pct"/>
          </w:tcPr>
          <w:p w14:paraId="51367749">
            <w:pPr>
              <w:pStyle w:val="43"/>
              <w:jc w:val="center"/>
              <w:rPr>
                <w:rFonts w:ascii="仿宋" w:hAnsi="仿宋" w:eastAsia="仿宋"/>
                <w:color w:val="auto"/>
                <w:sz w:val="24"/>
              </w:rPr>
            </w:pPr>
            <w:r>
              <w:rPr>
                <w:rFonts w:ascii="仿宋" w:hAnsi="仿宋" w:eastAsia="仿宋"/>
                <w:color w:val="auto"/>
                <w:sz w:val="24"/>
              </w:rPr>
              <w:t>提升约2.29倍</w:t>
            </w:r>
          </w:p>
        </w:tc>
        <w:tc>
          <w:tcPr>
            <w:tcW w:w="1250" w:type="pct"/>
          </w:tcPr>
          <w:p w14:paraId="318B1BB1">
            <w:pPr>
              <w:pStyle w:val="43"/>
              <w:jc w:val="center"/>
              <w:rPr>
                <w:rFonts w:ascii="仿宋" w:hAnsi="仿宋" w:eastAsia="仿宋"/>
                <w:color w:val="auto"/>
                <w:sz w:val="24"/>
              </w:rPr>
            </w:pPr>
            <w:r>
              <w:rPr>
                <w:rFonts w:ascii="仿宋" w:hAnsi="仿宋" w:eastAsia="仿宋"/>
                <w:bCs/>
                <w:color w:val="auto"/>
                <w:sz w:val="24"/>
              </w:rPr>
              <w:t>↑ 129%</w:t>
            </w:r>
          </w:p>
        </w:tc>
      </w:tr>
      <w:tr w14:paraId="1AD2F8F2">
        <w:tc>
          <w:tcPr>
            <w:tcW w:w="1364" w:type="pct"/>
          </w:tcPr>
          <w:p w14:paraId="0A43BDBE">
            <w:pPr>
              <w:pStyle w:val="43"/>
              <w:rPr>
                <w:rFonts w:ascii="仿宋" w:hAnsi="仿宋" w:eastAsia="仿宋"/>
                <w:color w:val="auto"/>
                <w:sz w:val="24"/>
              </w:rPr>
            </w:pPr>
            <w:r>
              <w:rPr>
                <w:rFonts w:ascii="仿宋" w:hAnsi="仿宋" w:eastAsia="仿宋"/>
                <w:color w:val="auto"/>
                <w:sz w:val="24"/>
              </w:rPr>
              <w:t>夜间跑批总耗时</w:t>
            </w:r>
          </w:p>
        </w:tc>
        <w:tc>
          <w:tcPr>
            <w:tcW w:w="1025" w:type="pct"/>
          </w:tcPr>
          <w:p w14:paraId="63D2DC17">
            <w:pPr>
              <w:pStyle w:val="43"/>
              <w:jc w:val="center"/>
              <w:rPr>
                <w:rFonts w:ascii="仿宋" w:hAnsi="仿宋" w:eastAsia="仿宋"/>
                <w:color w:val="auto"/>
                <w:sz w:val="24"/>
              </w:rPr>
            </w:pPr>
            <w:r>
              <w:rPr>
                <w:rFonts w:ascii="仿宋" w:hAnsi="仿宋" w:eastAsia="仿宋"/>
                <w:color w:val="auto"/>
                <w:sz w:val="24"/>
              </w:rPr>
              <w:t>约8小时</w:t>
            </w:r>
          </w:p>
        </w:tc>
        <w:tc>
          <w:tcPr>
            <w:tcW w:w="1361" w:type="pct"/>
          </w:tcPr>
          <w:p w14:paraId="2B5255CB">
            <w:pPr>
              <w:pStyle w:val="43"/>
              <w:jc w:val="center"/>
              <w:rPr>
                <w:rFonts w:ascii="仿宋" w:hAnsi="仿宋" w:eastAsia="仿宋"/>
                <w:color w:val="auto"/>
                <w:sz w:val="24"/>
              </w:rPr>
            </w:pPr>
            <w:r>
              <w:rPr>
                <w:rFonts w:ascii="仿宋" w:hAnsi="仿宋" w:eastAsia="仿宋"/>
                <w:color w:val="auto"/>
                <w:sz w:val="24"/>
              </w:rPr>
              <w:t>约3小时</w:t>
            </w:r>
          </w:p>
        </w:tc>
        <w:tc>
          <w:tcPr>
            <w:tcW w:w="1250" w:type="pct"/>
          </w:tcPr>
          <w:p w14:paraId="10B214C1">
            <w:pPr>
              <w:pStyle w:val="43"/>
              <w:jc w:val="center"/>
              <w:rPr>
                <w:rFonts w:ascii="仿宋" w:hAnsi="仿宋" w:eastAsia="仿宋"/>
                <w:color w:val="auto"/>
                <w:sz w:val="24"/>
              </w:rPr>
            </w:pPr>
            <w:r>
              <w:rPr>
                <w:rFonts w:ascii="仿宋" w:hAnsi="仿宋" w:eastAsia="仿宋"/>
                <w:color w:val="auto"/>
                <w:sz w:val="24"/>
              </w:rPr>
              <w:t>↓ 62.5%</w:t>
            </w:r>
          </w:p>
        </w:tc>
      </w:tr>
      <w:tr w14:paraId="33360822">
        <w:tc>
          <w:tcPr>
            <w:tcW w:w="1364" w:type="pct"/>
          </w:tcPr>
          <w:p w14:paraId="2AA524AC">
            <w:pPr>
              <w:pStyle w:val="43"/>
              <w:rPr>
                <w:rFonts w:ascii="仿宋" w:hAnsi="仿宋" w:eastAsia="仿宋"/>
                <w:color w:val="auto"/>
                <w:sz w:val="24"/>
              </w:rPr>
            </w:pPr>
            <w:r>
              <w:rPr>
                <w:rFonts w:ascii="仿宋" w:hAnsi="仿宋" w:eastAsia="仿宋"/>
                <w:color w:val="auto"/>
                <w:sz w:val="24"/>
              </w:rPr>
              <w:t>CPU资源消耗</w:t>
            </w:r>
          </w:p>
        </w:tc>
        <w:tc>
          <w:tcPr>
            <w:tcW w:w="1025" w:type="pct"/>
          </w:tcPr>
          <w:p w14:paraId="1C7C9C46">
            <w:pPr>
              <w:pStyle w:val="43"/>
              <w:jc w:val="center"/>
              <w:rPr>
                <w:rFonts w:ascii="仿宋" w:hAnsi="仿宋" w:eastAsia="仿宋"/>
                <w:color w:val="auto"/>
                <w:sz w:val="24"/>
              </w:rPr>
            </w:pPr>
            <w:r>
              <w:rPr>
                <w:rFonts w:ascii="仿宋" w:hAnsi="仿宋" w:eastAsia="仿宋"/>
                <w:color w:val="auto"/>
                <w:sz w:val="24"/>
              </w:rPr>
              <w:t>基准值</w:t>
            </w:r>
          </w:p>
        </w:tc>
        <w:tc>
          <w:tcPr>
            <w:tcW w:w="1361" w:type="pct"/>
          </w:tcPr>
          <w:p w14:paraId="7383EF56">
            <w:pPr>
              <w:pStyle w:val="43"/>
              <w:jc w:val="center"/>
              <w:rPr>
                <w:rFonts w:ascii="仿宋" w:hAnsi="仿宋" w:eastAsia="仿宋"/>
                <w:color w:val="auto"/>
                <w:sz w:val="24"/>
              </w:rPr>
            </w:pPr>
            <w:r>
              <w:rPr>
                <w:rFonts w:ascii="仿宋" w:hAnsi="仿宋" w:eastAsia="仿宋"/>
                <w:color w:val="auto"/>
                <w:sz w:val="24"/>
              </w:rPr>
              <w:t>下降约70%</w:t>
            </w:r>
          </w:p>
        </w:tc>
        <w:tc>
          <w:tcPr>
            <w:tcW w:w="1250" w:type="pct"/>
          </w:tcPr>
          <w:p w14:paraId="2781A224">
            <w:pPr>
              <w:pStyle w:val="43"/>
              <w:jc w:val="center"/>
              <w:rPr>
                <w:rFonts w:ascii="仿宋" w:hAnsi="仿宋" w:eastAsia="仿宋"/>
                <w:color w:val="auto"/>
                <w:sz w:val="24"/>
              </w:rPr>
            </w:pPr>
            <w:r>
              <w:rPr>
                <w:rFonts w:ascii="仿宋" w:hAnsi="仿宋" w:eastAsia="仿宋"/>
                <w:color w:val="auto"/>
                <w:sz w:val="24"/>
              </w:rPr>
              <w:t>↓ 70%</w:t>
            </w:r>
          </w:p>
        </w:tc>
      </w:tr>
      <w:tr w14:paraId="41FD0F85">
        <w:tc>
          <w:tcPr>
            <w:tcW w:w="1364" w:type="pct"/>
          </w:tcPr>
          <w:p w14:paraId="3AE2DE03">
            <w:pPr>
              <w:pStyle w:val="43"/>
              <w:rPr>
                <w:rFonts w:ascii="仿宋" w:hAnsi="仿宋" w:eastAsia="仿宋"/>
                <w:color w:val="auto"/>
                <w:sz w:val="24"/>
              </w:rPr>
            </w:pPr>
            <w:r>
              <w:rPr>
                <w:rFonts w:ascii="仿宋" w:hAnsi="仿宋" w:eastAsia="仿宋"/>
                <w:color w:val="auto"/>
                <w:sz w:val="24"/>
              </w:rPr>
              <w:t>实时分析延迟</w:t>
            </w:r>
          </w:p>
        </w:tc>
        <w:tc>
          <w:tcPr>
            <w:tcW w:w="1025" w:type="pct"/>
          </w:tcPr>
          <w:p w14:paraId="2C6BF4E1">
            <w:pPr>
              <w:pStyle w:val="43"/>
              <w:jc w:val="center"/>
              <w:rPr>
                <w:rFonts w:ascii="仿宋" w:hAnsi="仿宋" w:eastAsia="仿宋"/>
                <w:color w:val="auto"/>
                <w:sz w:val="24"/>
              </w:rPr>
            </w:pPr>
            <w:r>
              <w:rPr>
                <w:rFonts w:ascii="仿宋" w:hAnsi="仿宋" w:eastAsia="仿宋"/>
                <w:color w:val="auto"/>
                <w:sz w:val="24"/>
              </w:rPr>
              <w:t>分钟级</w:t>
            </w:r>
          </w:p>
        </w:tc>
        <w:tc>
          <w:tcPr>
            <w:tcW w:w="1361" w:type="pct"/>
          </w:tcPr>
          <w:p w14:paraId="449E22C5">
            <w:pPr>
              <w:pStyle w:val="43"/>
              <w:jc w:val="center"/>
              <w:rPr>
                <w:rFonts w:ascii="仿宋" w:hAnsi="仿宋" w:eastAsia="仿宋"/>
                <w:color w:val="auto"/>
                <w:sz w:val="24"/>
              </w:rPr>
            </w:pPr>
            <w:r>
              <w:rPr>
                <w:rFonts w:ascii="仿宋" w:hAnsi="仿宋" w:eastAsia="仿宋"/>
                <w:color w:val="auto"/>
                <w:sz w:val="24"/>
              </w:rPr>
              <w:t>秒级</w:t>
            </w:r>
          </w:p>
        </w:tc>
        <w:tc>
          <w:tcPr>
            <w:tcW w:w="1250" w:type="pct"/>
          </w:tcPr>
          <w:p w14:paraId="01A8C0E7">
            <w:pPr>
              <w:pStyle w:val="43"/>
              <w:jc w:val="center"/>
              <w:rPr>
                <w:rFonts w:ascii="仿宋" w:hAnsi="仿宋" w:eastAsia="仿宋"/>
                <w:color w:val="auto"/>
                <w:sz w:val="24"/>
              </w:rPr>
            </w:pPr>
            <w:r>
              <w:rPr>
                <w:rFonts w:ascii="仿宋" w:hAnsi="仿宋" w:eastAsia="仿宋"/>
                <w:color w:val="auto"/>
                <w:sz w:val="24"/>
              </w:rPr>
              <w:t>质的飞跃</w:t>
            </w:r>
          </w:p>
        </w:tc>
      </w:tr>
      <w:tr w14:paraId="2BB0A1DF">
        <w:tc>
          <w:tcPr>
            <w:tcW w:w="1364" w:type="pct"/>
          </w:tcPr>
          <w:p w14:paraId="24494499">
            <w:pPr>
              <w:pStyle w:val="43"/>
              <w:rPr>
                <w:rFonts w:ascii="仿宋" w:hAnsi="仿宋" w:eastAsia="仿宋"/>
                <w:color w:val="auto"/>
                <w:sz w:val="24"/>
              </w:rPr>
            </w:pPr>
            <w:r>
              <w:rPr>
                <w:rFonts w:ascii="仿宋" w:hAnsi="仿宋" w:eastAsia="仿宋"/>
                <w:color w:val="auto"/>
                <w:sz w:val="24"/>
              </w:rPr>
              <w:t>并发处理能力</w:t>
            </w:r>
          </w:p>
        </w:tc>
        <w:tc>
          <w:tcPr>
            <w:tcW w:w="1025" w:type="pct"/>
          </w:tcPr>
          <w:p w14:paraId="29D97A60">
            <w:pPr>
              <w:pStyle w:val="43"/>
              <w:jc w:val="center"/>
              <w:rPr>
                <w:rFonts w:ascii="仿宋" w:hAnsi="仿宋" w:eastAsia="仿宋"/>
                <w:color w:val="auto"/>
                <w:sz w:val="24"/>
              </w:rPr>
            </w:pPr>
            <w:r>
              <w:rPr>
                <w:rFonts w:ascii="仿宋" w:hAnsi="仿宋" w:eastAsia="仿宋"/>
                <w:color w:val="auto"/>
                <w:sz w:val="24"/>
              </w:rPr>
              <w:t>有限</w:t>
            </w:r>
          </w:p>
        </w:tc>
        <w:tc>
          <w:tcPr>
            <w:tcW w:w="1361" w:type="pct"/>
          </w:tcPr>
          <w:p w14:paraId="173871B8">
            <w:pPr>
              <w:pStyle w:val="43"/>
              <w:jc w:val="center"/>
              <w:rPr>
                <w:rFonts w:ascii="仿宋" w:hAnsi="仿宋" w:eastAsia="仿宋"/>
                <w:color w:val="auto"/>
                <w:sz w:val="24"/>
              </w:rPr>
            </w:pPr>
            <w:r>
              <w:rPr>
                <w:rFonts w:ascii="仿宋" w:hAnsi="仿宋" w:eastAsia="仿宋"/>
                <w:color w:val="auto"/>
                <w:sz w:val="24"/>
              </w:rPr>
              <w:t>大幅提升</w:t>
            </w:r>
          </w:p>
        </w:tc>
        <w:tc>
          <w:tcPr>
            <w:tcW w:w="1250" w:type="pct"/>
          </w:tcPr>
          <w:p w14:paraId="6B6F6633">
            <w:pPr>
              <w:pStyle w:val="43"/>
              <w:jc w:val="center"/>
              <w:rPr>
                <w:rFonts w:ascii="仿宋" w:hAnsi="仿宋" w:eastAsia="仿宋"/>
                <w:color w:val="auto"/>
                <w:sz w:val="24"/>
              </w:rPr>
            </w:pPr>
            <w:r>
              <w:rPr>
                <w:rFonts w:ascii="仿宋" w:hAnsi="仿宋" w:eastAsia="仿宋"/>
                <w:color w:val="auto"/>
                <w:sz w:val="24"/>
              </w:rPr>
              <w:t>显著提升</w:t>
            </w:r>
          </w:p>
        </w:tc>
      </w:tr>
      <w:tr w14:paraId="74ADA0E9">
        <w:tc>
          <w:tcPr>
            <w:tcW w:w="1364" w:type="pct"/>
          </w:tcPr>
          <w:p w14:paraId="323EBEDB">
            <w:pPr>
              <w:pStyle w:val="43"/>
              <w:rPr>
                <w:rFonts w:ascii="仿宋" w:hAnsi="仿宋" w:eastAsia="仿宋"/>
                <w:color w:val="auto"/>
                <w:sz w:val="24"/>
              </w:rPr>
            </w:pPr>
            <w:r>
              <w:rPr>
                <w:rFonts w:ascii="仿宋" w:hAnsi="仿宋" w:eastAsia="仿宋"/>
                <w:color w:val="auto"/>
                <w:sz w:val="24"/>
              </w:rPr>
              <w:t>存储利用效率</w:t>
            </w:r>
          </w:p>
        </w:tc>
        <w:tc>
          <w:tcPr>
            <w:tcW w:w="1025" w:type="pct"/>
          </w:tcPr>
          <w:p w14:paraId="2C2C9F0B">
            <w:pPr>
              <w:pStyle w:val="43"/>
              <w:jc w:val="center"/>
              <w:rPr>
                <w:rFonts w:ascii="仿宋" w:hAnsi="仿宋" w:eastAsia="仿宋"/>
                <w:color w:val="auto"/>
                <w:sz w:val="24"/>
              </w:rPr>
            </w:pPr>
            <w:r>
              <w:rPr>
                <w:rFonts w:ascii="仿宋" w:hAnsi="仿宋" w:eastAsia="仿宋"/>
                <w:color w:val="auto"/>
                <w:sz w:val="24"/>
              </w:rPr>
              <w:t>较低</w:t>
            </w:r>
          </w:p>
        </w:tc>
        <w:tc>
          <w:tcPr>
            <w:tcW w:w="1361" w:type="pct"/>
          </w:tcPr>
          <w:p w14:paraId="46DE2769">
            <w:pPr>
              <w:pStyle w:val="43"/>
              <w:jc w:val="center"/>
              <w:rPr>
                <w:rFonts w:ascii="仿宋" w:hAnsi="仿宋" w:eastAsia="仿宋"/>
                <w:color w:val="auto"/>
                <w:sz w:val="24"/>
              </w:rPr>
            </w:pPr>
            <w:r>
              <w:rPr>
                <w:rFonts w:ascii="仿宋" w:hAnsi="仿宋" w:eastAsia="仿宋"/>
                <w:color w:val="auto"/>
                <w:sz w:val="24"/>
              </w:rPr>
              <w:t>明显提升</w:t>
            </w:r>
          </w:p>
        </w:tc>
        <w:tc>
          <w:tcPr>
            <w:tcW w:w="1250" w:type="pct"/>
          </w:tcPr>
          <w:p w14:paraId="539ACCBF">
            <w:pPr>
              <w:pStyle w:val="43"/>
              <w:jc w:val="center"/>
              <w:rPr>
                <w:rFonts w:ascii="仿宋" w:hAnsi="仿宋" w:eastAsia="仿宋"/>
                <w:color w:val="auto"/>
                <w:sz w:val="24"/>
              </w:rPr>
            </w:pPr>
            <w:r>
              <w:rPr>
                <w:rFonts w:ascii="仿宋" w:hAnsi="仿宋" w:eastAsia="仿宋"/>
                <w:color w:val="auto"/>
                <w:sz w:val="24"/>
              </w:rPr>
              <w:t>显著优化</w:t>
            </w:r>
          </w:p>
        </w:tc>
      </w:tr>
    </w:tbl>
    <w:p w14:paraId="44030F91">
      <w:pPr>
        <w:spacing w:before="80" w:after="80"/>
        <w:rPr>
          <w:rFonts w:hint="eastAsia"/>
          <w:color w:val="auto"/>
        </w:rPr>
      </w:pPr>
    </w:p>
    <w:p w14:paraId="44791082">
      <w:pPr>
        <w:pStyle w:val="5"/>
        <w:rPr>
          <w:rFonts w:hint="eastAsia"/>
          <w:color w:val="auto"/>
        </w:rPr>
      </w:pPr>
      <w:r>
        <w:rPr>
          <w:color w:val="auto"/>
        </w:rPr>
        <w:t>资源与成本收益</w:t>
      </w:r>
    </w:p>
    <w:p w14:paraId="737B151A">
      <w:pPr>
        <w:pStyle w:val="42"/>
        <w:jc w:val="both"/>
        <w:rPr>
          <w:rFonts w:hint="eastAsia"/>
          <w:color w:val="auto"/>
        </w:rPr>
      </w:pPr>
      <w:r>
        <w:rPr>
          <w:color w:val="auto"/>
        </w:rPr>
        <w:t>基于测试结论，CPU资源消耗可下降约70%，这意味着在相同业务规模下，新平台所需的服务器数量将显著少于现有平台，可在满足未来3至5年业务增长需求的前提下，合理控制服务器采购规模，有效降低全生命周期总体拥有成本（TCO）。</w:t>
      </w:r>
    </w:p>
    <w:p w14:paraId="53E58A65">
      <w:pPr>
        <w:pStyle w:val="42"/>
        <w:jc w:val="both"/>
        <w:rPr>
          <w:rFonts w:hint="eastAsia"/>
          <w:color w:val="auto"/>
        </w:rPr>
      </w:pPr>
      <w:r>
        <w:rPr>
          <w:color w:val="auto"/>
        </w:rPr>
        <w:t>与此同时，运维人力成本也将得到有效控制。新平台架构更为简洁，运维操作更加标准化，预计可降低运维人员工作量约40%-50%，使现有运维团队能够在更少的投入下保障更大规模的业务需求。</w:t>
      </w:r>
    </w:p>
    <w:p w14:paraId="27FB1996">
      <w:pPr>
        <w:pStyle w:val="5"/>
        <w:rPr>
          <w:rFonts w:hint="eastAsia"/>
          <w:color w:val="auto"/>
        </w:rPr>
      </w:pPr>
      <w:r>
        <w:rPr>
          <w:color w:val="auto"/>
        </w:rPr>
        <w:t>安全合规收益</w:t>
      </w:r>
    </w:p>
    <w:p w14:paraId="6711619D">
      <w:pPr>
        <w:pStyle w:val="42"/>
        <w:jc w:val="both"/>
        <w:rPr>
          <w:rFonts w:hint="eastAsia"/>
          <w:color w:val="auto"/>
        </w:rPr>
      </w:pPr>
      <w:r>
        <w:rPr>
          <w:color w:val="auto"/>
        </w:rPr>
        <w:t>升级改造完成后，平台将具备以下安全合规能力：支持数据透明加密和密钥管理系统（KMS），满足密评核心要求；完成核心组件的国产化替代，满足信创改造要求；实现更精细化的数据分类分级访问控制，满足数据安全法规要求。</w:t>
      </w:r>
    </w:p>
    <w:p w14:paraId="20DAA0E0">
      <w:pPr>
        <w:pStyle w:val="5"/>
        <w:rPr>
          <w:rFonts w:hint="eastAsia"/>
          <w:color w:val="auto"/>
        </w:rPr>
      </w:pPr>
      <w:r>
        <w:rPr>
          <w:color w:val="auto"/>
        </w:rPr>
        <w:t>业务价值收益</w:t>
      </w:r>
    </w:p>
    <w:p w14:paraId="7E5A66DF">
      <w:pPr>
        <w:ind w:firstLine="420"/>
        <w:rPr>
          <w:rFonts w:hint="eastAsia"/>
          <w:color w:val="auto"/>
        </w:rPr>
      </w:pPr>
      <w:r>
        <w:rPr>
          <w:rFonts w:ascii="仿宋" w:hAnsi="仿宋" w:cs="仿宋"/>
          <w:color w:val="auto"/>
        </w:rPr>
        <w:t>从业务价值角度看，平台升级改造后，"一网通办"数据接口的稳定性和响应速度将得到显著改善，市民办事体验持续优化；领导驾驶舱数据刷新频次大幅提升，辅助决策能力显著增强；各委办局的数据共享协同效率明显提升，跨部门联合分析能力得到质的飞跃；同时，平台将具备支撑未来AI辅助治理、大模型应用等新型场景的基础能力。</w:t>
      </w:r>
    </w:p>
    <w:p w14:paraId="6D296D5F">
      <w:pPr>
        <w:pStyle w:val="3"/>
        <w:rPr>
          <w:rFonts w:hint="eastAsia"/>
          <w:color w:val="auto"/>
        </w:rPr>
      </w:pPr>
      <w:bookmarkStart w:id="15" w:name="_Toc230106833"/>
      <w:r>
        <w:rPr>
          <w:rFonts w:hint="eastAsia"/>
          <w:color w:val="auto"/>
        </w:rPr>
        <w:t>功能及用户需求</w:t>
      </w:r>
      <w:bookmarkEnd w:id="15"/>
    </w:p>
    <w:p w14:paraId="6955D929">
      <w:pPr>
        <w:pStyle w:val="4"/>
        <w:rPr>
          <w:rFonts w:hint="eastAsia"/>
          <w:color w:val="auto"/>
        </w:rPr>
      </w:pPr>
      <w:bookmarkStart w:id="16" w:name="_Toc230106834"/>
      <w:r>
        <w:rPr>
          <w:color w:val="auto"/>
        </w:rPr>
        <w:t>技术发展趋势</w:t>
      </w:r>
      <w:bookmarkEnd w:id="16"/>
    </w:p>
    <w:p w14:paraId="1D78D948">
      <w:pPr>
        <w:pStyle w:val="42"/>
        <w:jc w:val="both"/>
        <w:rPr>
          <w:rFonts w:hint="eastAsia"/>
          <w:color w:val="auto"/>
        </w:rPr>
      </w:pPr>
      <w:r>
        <w:rPr>
          <w:color w:val="auto"/>
        </w:rPr>
        <w:t>当前，大数据技术领域正在经历新一轮重大技术迭代：</w:t>
      </w:r>
    </w:p>
    <w:p w14:paraId="40345B66">
      <w:pPr>
        <w:pStyle w:val="35"/>
        <w:widowControl/>
        <w:numPr>
          <w:ilvl w:val="0"/>
          <w:numId w:val="3"/>
        </w:numPr>
        <w:ind w:left="840" w:hanging="420"/>
        <w:contextualSpacing w:val="0"/>
        <w:rPr>
          <w:rFonts w:hint="eastAsia"/>
          <w:color w:val="auto"/>
        </w:rPr>
      </w:pPr>
      <w:r>
        <w:rPr>
          <w:rFonts w:ascii="仿宋" w:hAnsi="仿宋" w:cs="仿宋"/>
          <w:color w:val="auto"/>
        </w:rPr>
        <w:t>MPP架构全面替代Hadoop：相比Hadoop批处理架构，MPP（大规模并行处理）架构以其更高的查询性能、更低的架构复杂度、更强的实时处理能力，正在成为政务大数据平台的主流技术选择。国内主要政务平台新建或升级项目，已普遍采用MPP架构替代Hadoop架构。</w:t>
      </w:r>
    </w:p>
    <w:p w14:paraId="33A33365">
      <w:pPr>
        <w:pStyle w:val="35"/>
        <w:widowControl/>
        <w:numPr>
          <w:ilvl w:val="0"/>
          <w:numId w:val="3"/>
        </w:numPr>
        <w:ind w:left="840" w:hanging="420"/>
        <w:contextualSpacing w:val="0"/>
        <w:rPr>
          <w:rFonts w:hint="eastAsia"/>
          <w:color w:val="auto"/>
        </w:rPr>
      </w:pPr>
      <w:r>
        <w:rPr>
          <w:rFonts w:ascii="仿宋" w:hAnsi="仿宋" w:cs="仿宋"/>
          <w:color w:val="auto"/>
        </w:rPr>
        <w:t>实时+离线一体化成为主流：随着业务对数据时效性要求的持续提升，"湖仓一体""批流一体"架构正在成为大数据平台的主流设计方向，割裂的批处理和流处理架构正逐步被统一的实时+离线一体化架构所取代。</w:t>
      </w:r>
    </w:p>
    <w:p w14:paraId="16F76D48">
      <w:pPr>
        <w:pStyle w:val="35"/>
        <w:widowControl/>
        <w:numPr>
          <w:ilvl w:val="0"/>
          <w:numId w:val="3"/>
        </w:numPr>
        <w:ind w:left="840" w:hanging="420"/>
        <w:contextualSpacing w:val="0"/>
        <w:rPr>
          <w:rFonts w:hint="eastAsia"/>
          <w:color w:val="auto"/>
        </w:rPr>
      </w:pPr>
      <w:r>
        <w:rPr>
          <w:rFonts w:ascii="仿宋" w:hAnsi="仿宋" w:cs="仿宋"/>
          <w:color w:val="auto"/>
        </w:rPr>
        <w:t>国产化技术快速成熟：以Argodb为代表的国产MPP数据库引擎，经过近年来的快速迭代和大规模应用验证，已在性能、稳定性、功能完备性等方面达到或超越境外同类产品，为信创改造提供了可靠的技术保障。</w:t>
      </w:r>
    </w:p>
    <w:p w14:paraId="2D28107D">
      <w:pPr>
        <w:pStyle w:val="35"/>
        <w:widowControl/>
        <w:numPr>
          <w:ilvl w:val="0"/>
          <w:numId w:val="3"/>
        </w:numPr>
        <w:ind w:left="840" w:hanging="420"/>
        <w:contextualSpacing w:val="0"/>
        <w:rPr>
          <w:rFonts w:hint="eastAsia"/>
          <w:color w:val="auto"/>
        </w:rPr>
      </w:pPr>
      <w:r>
        <w:rPr>
          <w:rFonts w:ascii="仿宋" w:hAnsi="仿宋" w:cs="仿宋"/>
          <w:color w:val="auto"/>
        </w:rPr>
        <w:t>AI大数据融合成为新趋势：随着人工智能技术的快速发展，政务数据平台正在加速向支撑AI应用的方向演进，需要具备向量计算、模型训练、智能分析等新型能力，而这些能力均需要新一代平台架构的支撑。</w:t>
      </w:r>
    </w:p>
    <w:p w14:paraId="750D6120">
      <w:pPr>
        <w:pStyle w:val="4"/>
        <w:rPr>
          <w:rFonts w:hint="eastAsia"/>
          <w:color w:val="auto"/>
        </w:rPr>
      </w:pPr>
      <w:bookmarkStart w:id="17" w:name="_Toc230106835"/>
      <w:r>
        <w:rPr>
          <w:rFonts w:hint="eastAsia"/>
          <w:color w:val="auto"/>
        </w:rPr>
        <w:t>其他</w:t>
      </w:r>
      <w:r>
        <w:rPr>
          <w:color w:val="auto"/>
        </w:rPr>
        <w:t>省市先行经验</w:t>
      </w:r>
      <w:bookmarkEnd w:id="17"/>
    </w:p>
    <w:p w14:paraId="1D54010A">
      <w:pPr>
        <w:ind w:firstLine="420"/>
        <w:rPr>
          <w:rFonts w:hint="eastAsia"/>
          <w:color w:val="auto"/>
        </w:rPr>
      </w:pPr>
      <w:r>
        <w:rPr>
          <w:rFonts w:ascii="仿宋" w:hAnsi="仿宋" w:cs="仿宋"/>
          <w:color w:val="auto"/>
        </w:rPr>
        <w:t>在全国范围内，北京、广州、杭州、苏州等地的政务大数据平台均已完成或正在推进向MPP架构的升级改造，并取得了显著成效：批处理效率大幅提升、运维成本明显下降、安全合规能力显著增强、业务支撑能力显著改善。这些成功案例为浦东新区的平台升级改造提供了有力的参考依据。</w:t>
      </w:r>
    </w:p>
    <w:p w14:paraId="3AB88C37">
      <w:pPr>
        <w:pStyle w:val="4"/>
        <w:rPr>
          <w:rFonts w:hint="eastAsia"/>
          <w:color w:val="auto"/>
        </w:rPr>
      </w:pPr>
      <w:bookmarkStart w:id="18" w:name="_Toc230106836"/>
      <w:r>
        <w:rPr>
          <w:color w:val="auto"/>
        </w:rPr>
        <w:t>国家政策层面的明确导向</w:t>
      </w:r>
      <w:bookmarkEnd w:id="18"/>
    </w:p>
    <w:p w14:paraId="54E7DA91">
      <w:pPr>
        <w:pStyle w:val="42"/>
        <w:jc w:val="both"/>
        <w:rPr>
          <w:rFonts w:hint="eastAsia"/>
          <w:color w:val="auto"/>
        </w:rPr>
      </w:pPr>
      <w:r>
        <w:rPr>
          <w:color w:val="auto"/>
        </w:rPr>
        <w:t>近年来，国家在政务大数据平台建设领域发布了一系列重要政策文件，明确了平台升级改造的方向和要求。《全国一体化政务大数据体系建设指南》明确提出，各地政务大数据平台须具备"统一数据目录、统一数据标准、统一安全管控、统一运维管理"的能力，并鼓励采用先进的MPP架构和国产化技术体系。</w:t>
      </w:r>
    </w:p>
    <w:p w14:paraId="5DB8DC8B">
      <w:pPr>
        <w:pStyle w:val="42"/>
        <w:jc w:val="both"/>
        <w:rPr>
          <w:rFonts w:hint="eastAsia"/>
          <w:color w:val="auto"/>
        </w:rPr>
      </w:pPr>
      <w:r>
        <w:rPr>
          <w:color w:val="auto"/>
        </w:rPr>
        <w:t>国家信创推广政策明确要求，到"十四五"末期，政务关键信息基础设施须基本完成向国产软硬件体系的迁移。这一政策要求为浦东新区的升级改造提供了明确的政策依据和时间节点要求。</w:t>
      </w:r>
    </w:p>
    <w:p w14:paraId="17F1A19B">
      <w:pPr>
        <w:pStyle w:val="4"/>
        <w:rPr>
          <w:rFonts w:hint="eastAsia"/>
          <w:color w:val="auto"/>
        </w:rPr>
      </w:pPr>
      <w:bookmarkStart w:id="19" w:name="_Toc230106837"/>
      <w:r>
        <w:rPr>
          <w:color w:val="auto"/>
        </w:rPr>
        <w:t>合规整改的时间窗口紧迫性</w:t>
      </w:r>
      <w:bookmarkEnd w:id="19"/>
      <w:r>
        <w:rPr>
          <w:color w:val="auto"/>
        </w:rPr>
        <w:t>大数据平台</w:t>
      </w:r>
    </w:p>
    <w:p w14:paraId="2BD17A5F">
      <w:pPr>
        <w:pStyle w:val="42"/>
        <w:jc w:val="both"/>
        <w:rPr>
          <w:rFonts w:hint="eastAsia"/>
          <w:color w:val="auto"/>
        </w:rPr>
      </w:pPr>
      <w:r>
        <w:rPr>
          <w:color w:val="auto"/>
        </w:rPr>
        <w:t>密评合规整改的时间要求较为明确，相关主管部门已多次强调政务核心系统须在规定期限内完成密评认证。当前平台从启动密评整改到通过认证，需要经历系统改造、测试验证、专家评审等多个环节，整个周期通常需要6至12个月。若不立即启动升级改造工作，将面临在规定期限内无法完成密评认证的重大风险。</w:t>
      </w:r>
    </w:p>
    <w:p w14:paraId="1E5057CB">
      <w:pPr>
        <w:pStyle w:val="4"/>
        <w:rPr>
          <w:rFonts w:hint="eastAsia"/>
          <w:color w:val="auto"/>
        </w:rPr>
      </w:pPr>
      <w:bookmarkStart w:id="20" w:name="_Toc230106838"/>
      <w:r>
        <w:rPr>
          <w:color w:val="auto"/>
        </w:rPr>
        <w:t>存储容量的时间窗口紧迫性</w:t>
      </w:r>
      <w:bookmarkEnd w:id="20"/>
    </w:p>
    <w:p w14:paraId="0B44D2F4">
      <w:pPr>
        <w:pStyle w:val="42"/>
        <w:jc w:val="both"/>
        <w:rPr>
          <w:rFonts w:hint="eastAsia"/>
          <w:color w:val="auto"/>
        </w:rPr>
      </w:pPr>
      <w:r>
        <w:rPr>
          <w:color w:val="auto"/>
        </w:rPr>
        <w:t>如前分析，当前存储使用率已达85%，按照年增长约20%-30%的速度，预计6至12个月内将达到存储上限，导致数据汇聚功能中断。存储扩容方案（无论是现有架构扩展还是迁移至新平台）均需要一定的准备和实施周期，必须在存储达到上限之前提前部署。考虑到新平台建设和数据迁移通常需要4至6个月，当前时间节点已非常紧迫，不容拖延。</w:t>
      </w:r>
    </w:p>
    <w:p w14:paraId="6A5D83B3">
      <w:pPr>
        <w:pStyle w:val="4"/>
        <w:rPr>
          <w:rFonts w:hint="eastAsia"/>
          <w:color w:val="auto"/>
        </w:rPr>
      </w:pPr>
      <w:bookmarkStart w:id="21" w:name="_Toc230106839"/>
      <w:r>
        <w:rPr>
          <w:color w:val="auto"/>
        </w:rPr>
        <w:t>业务增长压力的时间窗口紧迫性</w:t>
      </w:r>
      <w:bookmarkEnd w:id="21"/>
    </w:p>
    <w:p w14:paraId="2092588C">
      <w:pPr>
        <w:pStyle w:val="42"/>
        <w:jc w:val="both"/>
        <w:rPr>
          <w:rFonts w:hint="eastAsia"/>
          <w:color w:val="auto"/>
        </w:rPr>
      </w:pPr>
      <w:r>
        <w:rPr>
          <w:color w:val="auto"/>
        </w:rPr>
        <w:t>随着"一网通办"持续深化和委办局接入持续增加，接口调用量和数据处理量将持续快速提升。预计未来1至2年内，接口并发压力将超过当前平台的设计上限，届时将出现大规模接口超时和业务中断风险。如现在启动升级改造，可在业务压力突破临界点之前完成平台迁移，从容应对业务增长；如继续延误，则可能面临在最不利的时机（业务高峰期）被迫进行紧急处置的被动局面。</w:t>
      </w:r>
    </w:p>
    <w:p w14:paraId="295BC9A1">
      <w:pPr>
        <w:pStyle w:val="4"/>
        <w:rPr>
          <w:rFonts w:hint="eastAsia"/>
          <w:color w:val="auto"/>
        </w:rPr>
      </w:pPr>
      <w:bookmarkStart w:id="22" w:name="_Toc230106840"/>
      <w:r>
        <w:rPr>
          <w:color w:val="auto"/>
        </w:rPr>
        <w:t>重大活动保障的紧迫性</w:t>
      </w:r>
      <w:bookmarkEnd w:id="22"/>
    </w:p>
    <w:p w14:paraId="4152E600">
      <w:pPr>
        <w:pStyle w:val="42"/>
        <w:jc w:val="both"/>
        <w:rPr>
          <w:rFonts w:hint="eastAsia"/>
          <w:color w:val="auto"/>
        </w:rPr>
      </w:pPr>
      <w:r>
        <w:rPr>
          <w:color w:val="auto"/>
        </w:rPr>
        <w:t>浦东新区每年都有多个重大活动和重要节点需要数据平台提供高可用保障（如进博会等），这些活动对数据平台的稳定性、实时性要求极高，且时间节点明确、不可变更。当前平台在重大活动保障方面已多次出现能力不足的情况，在平台完成升级改造之前，每次重大活动都面临较大的保障风险。</w:t>
      </w:r>
    </w:p>
    <w:p w14:paraId="244E76E7">
      <w:pPr>
        <w:pStyle w:val="3"/>
        <w:rPr>
          <w:rFonts w:hint="eastAsia"/>
          <w:color w:val="auto"/>
        </w:rPr>
      </w:pPr>
      <w:bookmarkStart w:id="23" w:name="_Toc230106841"/>
      <w:r>
        <w:rPr>
          <w:rFonts w:hint="eastAsia"/>
          <w:color w:val="auto"/>
        </w:rPr>
        <w:t>数据需求</w:t>
      </w:r>
      <w:bookmarkEnd w:id="23"/>
    </w:p>
    <w:p w14:paraId="71343AC8">
      <w:pPr>
        <w:pStyle w:val="4"/>
        <w:rPr>
          <w:rFonts w:hint="eastAsia"/>
          <w:color w:val="auto"/>
        </w:rPr>
      </w:pPr>
      <w:bookmarkStart w:id="24" w:name="_Toc230106842"/>
      <w:r>
        <w:rPr>
          <w:color w:val="auto"/>
        </w:rPr>
        <w:t>平台资源与容量压力分析</w:t>
      </w:r>
      <w:bookmarkEnd w:id="24"/>
    </w:p>
    <w:p w14:paraId="7BBFF3B4">
      <w:pPr>
        <w:pStyle w:val="5"/>
        <w:rPr>
          <w:rFonts w:hint="eastAsia"/>
          <w:color w:val="auto"/>
        </w:rPr>
      </w:pPr>
      <w:r>
        <w:rPr>
          <w:color w:val="auto"/>
        </w:rPr>
        <w:t>存储资源压力分析</w:t>
      </w:r>
    </w:p>
    <w:p w14:paraId="0DF533B5">
      <w:pPr>
        <w:pStyle w:val="42"/>
        <w:jc w:val="both"/>
        <w:rPr>
          <w:rFonts w:hint="eastAsia"/>
          <w:color w:val="auto"/>
        </w:rPr>
      </w:pPr>
      <w:r>
        <w:rPr>
          <w:color w:val="auto"/>
        </w:rPr>
        <w:t>当前平台存储使用率已达85%，是所有资源指标中最为紧迫的一项。按照业界通行标准，存储使用率超过80%即进入高风险区间，需立即规划扩容或数据清理工作。然而，数据清理对于政务平台而言存在较大风险——政务数据通常有明确的保留年限要求，不可随意删除。</w:t>
      </w:r>
    </w:p>
    <w:p w14:paraId="12CD6F36">
      <w:pPr>
        <w:pStyle w:val="42"/>
        <w:jc w:val="both"/>
        <w:rPr>
          <w:rFonts w:hint="eastAsia"/>
          <w:color w:val="auto"/>
        </w:rPr>
      </w:pPr>
      <w:r>
        <w:rPr>
          <w:color w:val="auto"/>
        </w:rPr>
        <w:t>根据近三年数据增长趋势分析，平台年均数据增长量约为20%-30%。按此增速测算，在不进行扩容的情况下，现有存储将在约6至12个月内达到物理上限，届时将导致数据写入失败，引发全平台异常。</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3"/>
        <w:gridCol w:w="2038"/>
        <w:gridCol w:w="1747"/>
        <w:gridCol w:w="2704"/>
      </w:tblGrid>
      <w:tr w14:paraId="00F56953">
        <w:tc>
          <w:tcPr>
            <w:tcW w:w="1193" w:type="pct"/>
          </w:tcPr>
          <w:p w14:paraId="6E3036E4">
            <w:pPr>
              <w:pStyle w:val="43"/>
              <w:jc w:val="center"/>
              <w:rPr>
                <w:rFonts w:ascii="仿宋" w:hAnsi="仿宋" w:eastAsia="仿宋"/>
                <w:b/>
                <w:color w:val="auto"/>
                <w:sz w:val="24"/>
              </w:rPr>
            </w:pPr>
            <w:r>
              <w:rPr>
                <w:rFonts w:ascii="仿宋" w:hAnsi="仿宋" w:eastAsia="仿宋"/>
                <w:b/>
                <w:color w:val="auto"/>
                <w:sz w:val="24"/>
              </w:rPr>
              <w:t>时间节点</w:t>
            </w:r>
          </w:p>
        </w:tc>
        <w:tc>
          <w:tcPr>
            <w:tcW w:w="1196" w:type="pct"/>
          </w:tcPr>
          <w:p w14:paraId="4AB6C595">
            <w:pPr>
              <w:pStyle w:val="43"/>
              <w:jc w:val="center"/>
              <w:rPr>
                <w:rFonts w:ascii="仿宋" w:hAnsi="仿宋" w:eastAsia="仿宋"/>
                <w:b/>
                <w:color w:val="auto"/>
                <w:sz w:val="24"/>
              </w:rPr>
            </w:pPr>
            <w:r>
              <w:rPr>
                <w:rFonts w:ascii="仿宋" w:hAnsi="仿宋" w:eastAsia="仿宋"/>
                <w:b/>
                <w:color w:val="auto"/>
                <w:sz w:val="24"/>
              </w:rPr>
              <w:t>预测存储使用率</w:t>
            </w:r>
          </w:p>
        </w:tc>
        <w:tc>
          <w:tcPr>
            <w:tcW w:w="1025" w:type="pct"/>
          </w:tcPr>
          <w:p w14:paraId="60C6CF9A">
            <w:pPr>
              <w:pStyle w:val="43"/>
              <w:jc w:val="center"/>
              <w:rPr>
                <w:rFonts w:ascii="仿宋" w:hAnsi="仿宋" w:eastAsia="仿宋"/>
                <w:b/>
                <w:color w:val="auto"/>
                <w:sz w:val="24"/>
              </w:rPr>
            </w:pPr>
            <w:r>
              <w:rPr>
                <w:rFonts w:ascii="仿宋" w:hAnsi="仿宋" w:eastAsia="仿宋"/>
                <w:b/>
                <w:color w:val="auto"/>
                <w:sz w:val="24"/>
              </w:rPr>
              <w:t>风险等级</w:t>
            </w:r>
          </w:p>
        </w:tc>
        <w:tc>
          <w:tcPr>
            <w:tcW w:w="1586" w:type="pct"/>
          </w:tcPr>
          <w:p w14:paraId="4617250E">
            <w:pPr>
              <w:pStyle w:val="43"/>
              <w:jc w:val="center"/>
              <w:rPr>
                <w:rFonts w:ascii="仿宋" w:hAnsi="仿宋" w:eastAsia="仿宋"/>
                <w:b/>
                <w:color w:val="auto"/>
                <w:sz w:val="24"/>
              </w:rPr>
            </w:pPr>
            <w:r>
              <w:rPr>
                <w:rFonts w:ascii="仿宋" w:hAnsi="仿宋" w:eastAsia="仿宋"/>
                <w:b/>
                <w:color w:val="auto"/>
                <w:sz w:val="24"/>
              </w:rPr>
              <w:t>预期影响</w:t>
            </w:r>
          </w:p>
        </w:tc>
      </w:tr>
      <w:tr w14:paraId="52DC7DE5">
        <w:tc>
          <w:tcPr>
            <w:tcW w:w="1193" w:type="pct"/>
          </w:tcPr>
          <w:p w14:paraId="61D64375">
            <w:pPr>
              <w:pStyle w:val="43"/>
              <w:rPr>
                <w:rFonts w:ascii="仿宋" w:hAnsi="仿宋" w:eastAsia="仿宋"/>
                <w:color w:val="auto"/>
                <w:sz w:val="24"/>
              </w:rPr>
            </w:pPr>
            <w:r>
              <w:rPr>
                <w:rFonts w:ascii="仿宋" w:hAnsi="仿宋" w:eastAsia="仿宋"/>
                <w:color w:val="auto"/>
                <w:sz w:val="24"/>
              </w:rPr>
              <w:t>当前（2025年）</w:t>
            </w:r>
          </w:p>
        </w:tc>
        <w:tc>
          <w:tcPr>
            <w:tcW w:w="1196" w:type="pct"/>
          </w:tcPr>
          <w:p w14:paraId="73E6C315">
            <w:pPr>
              <w:pStyle w:val="43"/>
              <w:jc w:val="center"/>
              <w:rPr>
                <w:rFonts w:ascii="仿宋" w:hAnsi="仿宋" w:eastAsia="仿宋"/>
                <w:color w:val="auto"/>
                <w:sz w:val="24"/>
              </w:rPr>
            </w:pPr>
            <w:r>
              <w:rPr>
                <w:rFonts w:ascii="仿宋" w:hAnsi="仿宋" w:eastAsia="仿宋"/>
                <w:color w:val="auto"/>
                <w:sz w:val="24"/>
              </w:rPr>
              <w:t>85%</w:t>
            </w:r>
          </w:p>
        </w:tc>
        <w:tc>
          <w:tcPr>
            <w:tcW w:w="1025" w:type="pct"/>
          </w:tcPr>
          <w:p w14:paraId="76D6F14A">
            <w:pPr>
              <w:pStyle w:val="43"/>
              <w:jc w:val="center"/>
              <w:rPr>
                <w:rFonts w:ascii="仿宋" w:hAnsi="仿宋" w:eastAsia="仿宋"/>
                <w:color w:val="auto"/>
                <w:sz w:val="24"/>
              </w:rPr>
            </w:pPr>
            <w:r>
              <w:rPr>
                <w:rFonts w:ascii="仿宋" w:hAnsi="仿宋" w:eastAsia="仿宋"/>
                <w:bCs/>
                <w:color w:val="auto"/>
                <w:sz w:val="24"/>
              </w:rPr>
              <w:t>高风险</w:t>
            </w:r>
          </w:p>
        </w:tc>
        <w:tc>
          <w:tcPr>
            <w:tcW w:w="1586" w:type="pct"/>
          </w:tcPr>
          <w:p w14:paraId="2EF39D0B">
            <w:pPr>
              <w:pStyle w:val="43"/>
              <w:rPr>
                <w:rFonts w:ascii="仿宋" w:hAnsi="仿宋" w:eastAsia="仿宋"/>
                <w:color w:val="auto"/>
                <w:sz w:val="24"/>
              </w:rPr>
            </w:pPr>
            <w:r>
              <w:rPr>
                <w:rFonts w:ascii="仿宋" w:hAnsi="仿宋" w:eastAsia="仿宋"/>
                <w:color w:val="auto"/>
                <w:sz w:val="24"/>
              </w:rPr>
              <w:t>已接近红线，需立即关注</w:t>
            </w:r>
          </w:p>
        </w:tc>
      </w:tr>
      <w:tr w14:paraId="036C0CAD">
        <w:tc>
          <w:tcPr>
            <w:tcW w:w="1193" w:type="pct"/>
          </w:tcPr>
          <w:p w14:paraId="6FD69E4B">
            <w:pPr>
              <w:pStyle w:val="43"/>
              <w:rPr>
                <w:rFonts w:ascii="仿宋" w:hAnsi="仿宋" w:eastAsia="仿宋"/>
                <w:color w:val="auto"/>
                <w:sz w:val="24"/>
              </w:rPr>
            </w:pPr>
            <w:r>
              <w:rPr>
                <w:rFonts w:ascii="仿宋" w:hAnsi="仿宋" w:eastAsia="仿宋"/>
                <w:color w:val="auto"/>
                <w:sz w:val="24"/>
              </w:rPr>
              <w:t>6个月后</w:t>
            </w:r>
          </w:p>
        </w:tc>
        <w:tc>
          <w:tcPr>
            <w:tcW w:w="1196" w:type="pct"/>
          </w:tcPr>
          <w:p w14:paraId="178396DD">
            <w:pPr>
              <w:pStyle w:val="43"/>
              <w:jc w:val="center"/>
              <w:rPr>
                <w:rFonts w:ascii="仿宋" w:hAnsi="仿宋" w:eastAsia="仿宋"/>
                <w:color w:val="auto"/>
                <w:sz w:val="24"/>
              </w:rPr>
            </w:pPr>
            <w:r>
              <w:rPr>
                <w:rFonts w:ascii="仿宋" w:hAnsi="仿宋" w:eastAsia="仿宋"/>
                <w:color w:val="auto"/>
                <w:sz w:val="24"/>
              </w:rPr>
              <w:t>约92%</w:t>
            </w:r>
          </w:p>
        </w:tc>
        <w:tc>
          <w:tcPr>
            <w:tcW w:w="1025" w:type="pct"/>
          </w:tcPr>
          <w:p w14:paraId="2E3F5A41">
            <w:pPr>
              <w:pStyle w:val="43"/>
              <w:jc w:val="center"/>
              <w:rPr>
                <w:rFonts w:ascii="仿宋" w:hAnsi="仿宋" w:eastAsia="仿宋"/>
                <w:color w:val="auto"/>
                <w:sz w:val="24"/>
              </w:rPr>
            </w:pPr>
            <w:r>
              <w:rPr>
                <w:rFonts w:ascii="仿宋" w:hAnsi="仿宋" w:eastAsia="仿宋"/>
                <w:bCs/>
                <w:color w:val="auto"/>
                <w:sz w:val="24"/>
              </w:rPr>
              <w:t>极高风险</w:t>
            </w:r>
          </w:p>
        </w:tc>
        <w:tc>
          <w:tcPr>
            <w:tcW w:w="1586" w:type="pct"/>
          </w:tcPr>
          <w:p w14:paraId="4F762B68">
            <w:pPr>
              <w:pStyle w:val="43"/>
              <w:rPr>
                <w:rFonts w:ascii="仿宋" w:hAnsi="仿宋" w:eastAsia="仿宋"/>
                <w:color w:val="auto"/>
                <w:sz w:val="24"/>
              </w:rPr>
            </w:pPr>
            <w:r>
              <w:rPr>
                <w:rFonts w:ascii="仿宋" w:hAnsi="仿宋" w:eastAsia="仿宋"/>
                <w:color w:val="auto"/>
                <w:sz w:val="24"/>
              </w:rPr>
              <w:t>可能出现数据写入异常</w:t>
            </w:r>
          </w:p>
        </w:tc>
      </w:tr>
      <w:tr w14:paraId="57D176B6">
        <w:tc>
          <w:tcPr>
            <w:tcW w:w="1193" w:type="pct"/>
          </w:tcPr>
          <w:p w14:paraId="632EFECB">
            <w:pPr>
              <w:pStyle w:val="43"/>
              <w:rPr>
                <w:rFonts w:ascii="仿宋" w:hAnsi="仿宋" w:eastAsia="仿宋"/>
                <w:color w:val="auto"/>
                <w:sz w:val="24"/>
              </w:rPr>
            </w:pPr>
            <w:r>
              <w:rPr>
                <w:rFonts w:ascii="仿宋" w:hAnsi="仿宋" w:eastAsia="仿宋"/>
                <w:color w:val="auto"/>
                <w:sz w:val="24"/>
              </w:rPr>
              <w:t>12个月后</w:t>
            </w:r>
          </w:p>
        </w:tc>
        <w:tc>
          <w:tcPr>
            <w:tcW w:w="1196" w:type="pct"/>
          </w:tcPr>
          <w:p w14:paraId="1CF1A98F">
            <w:pPr>
              <w:pStyle w:val="43"/>
              <w:jc w:val="center"/>
              <w:rPr>
                <w:rFonts w:ascii="仿宋" w:hAnsi="仿宋" w:eastAsia="仿宋"/>
                <w:color w:val="auto"/>
                <w:sz w:val="24"/>
              </w:rPr>
            </w:pPr>
            <w:r>
              <w:rPr>
                <w:rFonts w:ascii="仿宋" w:hAnsi="仿宋" w:eastAsia="仿宋"/>
                <w:color w:val="auto"/>
                <w:sz w:val="24"/>
              </w:rPr>
              <w:t>约100%</w:t>
            </w:r>
          </w:p>
        </w:tc>
        <w:tc>
          <w:tcPr>
            <w:tcW w:w="1025" w:type="pct"/>
          </w:tcPr>
          <w:p w14:paraId="7E02976E">
            <w:pPr>
              <w:pStyle w:val="43"/>
              <w:jc w:val="center"/>
              <w:rPr>
                <w:rFonts w:ascii="仿宋" w:hAnsi="仿宋" w:eastAsia="仿宋"/>
                <w:color w:val="auto"/>
                <w:sz w:val="24"/>
              </w:rPr>
            </w:pPr>
            <w:r>
              <w:rPr>
                <w:rFonts w:ascii="仿宋" w:hAnsi="仿宋" w:eastAsia="仿宋"/>
                <w:color w:val="auto"/>
                <w:sz w:val="24"/>
              </w:rPr>
              <w:t>危险</w:t>
            </w:r>
          </w:p>
        </w:tc>
        <w:tc>
          <w:tcPr>
            <w:tcW w:w="1586" w:type="pct"/>
          </w:tcPr>
          <w:p w14:paraId="447857EA">
            <w:pPr>
              <w:pStyle w:val="43"/>
              <w:rPr>
                <w:rFonts w:ascii="仿宋" w:hAnsi="仿宋" w:eastAsia="仿宋"/>
                <w:color w:val="auto"/>
                <w:sz w:val="24"/>
              </w:rPr>
            </w:pPr>
            <w:r>
              <w:rPr>
                <w:rFonts w:ascii="仿宋" w:hAnsi="仿宋" w:eastAsia="仿宋"/>
                <w:color w:val="auto"/>
                <w:sz w:val="24"/>
              </w:rPr>
              <w:t>平台数据汇聚功能将中断</w:t>
            </w:r>
          </w:p>
        </w:tc>
      </w:tr>
    </w:tbl>
    <w:p w14:paraId="19C401A1">
      <w:pPr>
        <w:spacing w:before="80" w:after="80"/>
        <w:rPr>
          <w:rFonts w:hint="eastAsia"/>
          <w:color w:val="auto"/>
        </w:rPr>
      </w:pPr>
    </w:p>
    <w:p w14:paraId="0F7F4B58">
      <w:pPr>
        <w:pStyle w:val="5"/>
        <w:rPr>
          <w:rFonts w:hint="eastAsia"/>
          <w:color w:val="auto"/>
        </w:rPr>
      </w:pPr>
      <w:r>
        <w:rPr>
          <w:color w:val="auto"/>
        </w:rPr>
        <w:t>计算资源压力分析</w:t>
      </w:r>
    </w:p>
    <w:p w14:paraId="217A17E2">
      <w:pPr>
        <w:pStyle w:val="42"/>
        <w:jc w:val="both"/>
        <w:rPr>
          <w:rFonts w:hint="eastAsia"/>
          <w:color w:val="auto"/>
        </w:rPr>
      </w:pPr>
      <w:r>
        <w:rPr>
          <w:color w:val="auto"/>
        </w:rPr>
        <w:t>虽然平台CPU平均使用率约为40%，内存平均使用率约为60%，但这一数据具有较大的误导性。政务大数据平台的负载具有极强的峰谷特征，在以下场景下计算资源将面临严峻压力：</w:t>
      </w:r>
    </w:p>
    <w:p w14:paraId="63F2F352">
      <w:pPr>
        <w:pStyle w:val="35"/>
        <w:widowControl/>
        <w:numPr>
          <w:ilvl w:val="0"/>
          <w:numId w:val="3"/>
        </w:numPr>
        <w:ind w:left="840" w:hanging="420"/>
        <w:contextualSpacing w:val="0"/>
        <w:rPr>
          <w:rFonts w:hint="eastAsia"/>
          <w:color w:val="auto"/>
        </w:rPr>
      </w:pPr>
      <w:r>
        <w:rPr>
          <w:rFonts w:ascii="仿宋" w:hAnsi="仿宋" w:cs="仿宋"/>
          <w:color w:val="auto"/>
        </w:rPr>
        <w:t>夜间批处理高峰期（22:00—次日6:00）：多个大型跑批任务并行执行，CPU和内存使用率可迅速攀升至80%以上，此时若有临时性的业务查询需求，将发生严重的资源争抢，导致任务失败或严重超时。</w:t>
      </w:r>
    </w:p>
    <w:p w14:paraId="7A6D6FCB">
      <w:pPr>
        <w:pStyle w:val="35"/>
        <w:widowControl/>
        <w:numPr>
          <w:ilvl w:val="0"/>
          <w:numId w:val="3"/>
        </w:numPr>
        <w:ind w:left="840" w:hanging="420"/>
        <w:contextualSpacing w:val="0"/>
        <w:rPr>
          <w:rFonts w:hint="eastAsia"/>
          <w:color w:val="auto"/>
        </w:rPr>
      </w:pPr>
      <w:r>
        <w:rPr>
          <w:rFonts w:ascii="仿宋" w:hAnsi="仿宋" w:cs="仿宋"/>
          <w:color w:val="auto"/>
        </w:rPr>
        <w:t>重大活动保障期：进博会、全国性会议、重要节假日等时段，数据展示和分析需求集中爆发，实时接口调用量数倍于平常，平台计算资源极度紧张。</w:t>
      </w:r>
    </w:p>
    <w:p w14:paraId="5366CB3C">
      <w:pPr>
        <w:pStyle w:val="35"/>
        <w:widowControl/>
        <w:numPr>
          <w:ilvl w:val="0"/>
          <w:numId w:val="3"/>
        </w:numPr>
        <w:ind w:left="840" w:hanging="420"/>
        <w:contextualSpacing w:val="0"/>
        <w:rPr>
          <w:rFonts w:hint="eastAsia"/>
          <w:color w:val="auto"/>
        </w:rPr>
      </w:pPr>
      <w:r>
        <w:rPr>
          <w:rFonts w:ascii="仿宋" w:hAnsi="仿宋" w:cs="仿宋"/>
          <w:color w:val="auto"/>
        </w:rPr>
        <w:t>多委办局联合查询场景：多个委办局同时发起复杂联合查询时，由于缺乏有效的资源隔离机制，大量计算资源被同时占用，导致整体响应能力下降，各业务均受到影响。</w:t>
      </w:r>
    </w:p>
    <w:p w14:paraId="298FACD1">
      <w:pPr>
        <w:pStyle w:val="5"/>
        <w:rPr>
          <w:rFonts w:hint="eastAsia"/>
          <w:color w:val="auto"/>
        </w:rPr>
      </w:pPr>
      <w:r>
        <w:rPr>
          <w:color w:val="auto"/>
        </w:rPr>
        <w:t>节点扩展困难分析</w:t>
      </w:r>
    </w:p>
    <w:p w14:paraId="07E5969C">
      <w:pPr>
        <w:pStyle w:val="42"/>
        <w:jc w:val="both"/>
        <w:rPr>
          <w:rFonts w:hint="eastAsia"/>
          <w:color w:val="auto"/>
        </w:rPr>
      </w:pPr>
      <w:r>
        <w:rPr>
          <w:color w:val="auto"/>
        </w:rPr>
        <w:t>当前平台共有19个物理节点，在现有Hadoop架构下，节点扩展面临多方面挑战：一是物理机采购周期长（通常需要2至3个月），无法快速响应业务需求；二是节点加入后需进行数据均衡操作，该过程通常需要数天至数周时间，期间对平台性能产生明显影响；三是X86物理机的运维成本较高，节点数量的增加将进一步加大运维负担。</w:t>
      </w:r>
    </w:p>
    <w:p w14:paraId="0DCF997E">
      <w:pPr>
        <w:rPr>
          <w:rFonts w:hint="eastAsia"/>
          <w:color w:val="auto"/>
        </w:rPr>
      </w:pPr>
      <w:r>
        <w:rPr>
          <w:rFonts w:ascii="仿宋" w:hAnsi="仿宋" w:cs="仿宋"/>
          <w:color w:val="auto"/>
        </w:rPr>
        <w:br w:type="page"/>
      </w:r>
    </w:p>
    <w:p w14:paraId="704040CD">
      <w:pPr>
        <w:pStyle w:val="4"/>
        <w:rPr>
          <w:rFonts w:hint="eastAsia"/>
          <w:color w:val="auto"/>
        </w:rPr>
      </w:pPr>
      <w:bookmarkStart w:id="25" w:name="_Toc230106843"/>
      <w:r>
        <w:rPr>
          <w:color w:val="auto"/>
        </w:rPr>
        <w:t>数据增长趋势分析</w:t>
      </w:r>
      <w:bookmarkEnd w:id="25"/>
    </w:p>
    <w:p w14:paraId="6C02E3FE">
      <w:pPr>
        <w:pStyle w:val="5"/>
        <w:rPr>
          <w:rFonts w:hint="eastAsia"/>
          <w:color w:val="auto"/>
        </w:rPr>
      </w:pPr>
      <w:r>
        <w:rPr>
          <w:color w:val="auto"/>
        </w:rPr>
        <w:t>数据总量增长趋势</w:t>
      </w:r>
    </w:p>
    <w:p w14:paraId="45F17A4A">
      <w:pPr>
        <w:pStyle w:val="42"/>
        <w:jc w:val="both"/>
        <w:rPr>
          <w:rFonts w:hint="eastAsia"/>
          <w:color w:val="auto"/>
        </w:rPr>
      </w:pPr>
      <w:r>
        <w:rPr>
          <w:color w:val="auto"/>
        </w:rPr>
        <w:t>自平台建设以来，浦东新区政务数据总量保持高速增长态势。目前，平台汇聚数据量已超过PB级，涵盖人口、法人、房产、地理、经济、社会治理等多个核心数据域。随着全区"数据要素市场化"改革的深入推进，越来越多的政务数据被要求纳入平台统一管理，数据总量将进一步持续快速增长。</w:t>
      </w:r>
    </w:p>
    <w:p w14:paraId="5BED3BD4">
      <w:pPr>
        <w:pStyle w:val="42"/>
        <w:jc w:val="both"/>
        <w:rPr>
          <w:rFonts w:hint="eastAsia"/>
          <w:color w:val="auto"/>
        </w:rPr>
      </w:pPr>
      <w:r>
        <w:rPr>
          <w:color w:val="auto"/>
        </w:rPr>
        <w:t>根据历史增长曲线分析，平台数据年增长量约为20%-30%，预计未来三年内，平台数据总量将突破数PB，如不及时扩容和架构升级，现有平台将无法承载这一增长体量。</w:t>
      </w:r>
    </w:p>
    <w:p w14:paraId="371D10C7">
      <w:pPr>
        <w:pStyle w:val="5"/>
        <w:rPr>
          <w:rFonts w:hint="eastAsia"/>
          <w:color w:val="auto"/>
        </w:rPr>
      </w:pPr>
      <w:r>
        <w:rPr>
          <w:color w:val="auto"/>
        </w:rPr>
        <w:t>数据类型复杂度增长</w:t>
      </w:r>
    </w:p>
    <w:p w14:paraId="7119772F">
      <w:pPr>
        <w:pStyle w:val="42"/>
        <w:jc w:val="both"/>
        <w:rPr>
          <w:rFonts w:hint="eastAsia"/>
          <w:color w:val="auto"/>
        </w:rPr>
      </w:pPr>
      <w:r>
        <w:rPr>
          <w:color w:val="auto"/>
        </w:rPr>
        <w:t>随着政务数字化改革的持续深化，平台所需处理的数据类型日趋多样化和复杂化。除传统的结构化数据外，非结构化数据（文档、图像、视频等）和半结构化数据（JSON、XML等）的比例持续上升。与此同时，实时流式数据（如公安视频分析数据、交通传感器数据、气象实时数据等）的接入需求日益迫切，而现有平台对此类数据的处理能力十分有限，已形成明显的能力短板。</w:t>
      </w:r>
    </w:p>
    <w:p w14:paraId="78FE3E8E">
      <w:pPr>
        <w:pStyle w:val="5"/>
        <w:rPr>
          <w:rFonts w:hint="eastAsia"/>
          <w:color w:val="auto"/>
        </w:rPr>
      </w:pPr>
      <w:r>
        <w:rPr>
          <w:color w:val="auto"/>
        </w:rPr>
        <w:t>数据治理任务量增长</w:t>
      </w:r>
    </w:p>
    <w:p w14:paraId="4CB2D0C9">
      <w:pPr>
        <w:pStyle w:val="42"/>
        <w:jc w:val="both"/>
        <w:rPr>
          <w:rFonts w:hint="eastAsia"/>
          <w:color w:val="auto"/>
        </w:rPr>
      </w:pPr>
      <w:r>
        <w:rPr>
          <w:color w:val="auto"/>
        </w:rPr>
        <w:t>数据量的持续增长带来了数据治理任务量的等比增加。数据清洗、脱敏、标准化、质量检核等治理任务的处理量与数据总量高度正相关。当前平台已难以在有限的批处理时间窗口内完成日益增长的治理任务，治理工作积压的风险正在逐步显现。</w:t>
      </w:r>
    </w:p>
    <w:p w14:paraId="03008AF6">
      <w:pPr>
        <w:ind w:firstLine="420"/>
        <w:rPr>
          <w:rFonts w:hint="eastAsia"/>
          <w:color w:val="auto"/>
        </w:rPr>
      </w:pPr>
      <w:r>
        <w:rPr>
          <w:rFonts w:ascii="仿宋" w:hAnsi="仿宋" w:cs="仿宋"/>
          <w:color w:val="auto"/>
        </w:rPr>
        <w:t>在当前技术架构下，数据量的持续增长将直接导致批处理窗口越来越紧张、存储越来越快速消耗、查询响应越来越慢，整个平台的业务支撑能力将随着数据量的增长而快速恶化，形成恶性循环。</w:t>
      </w:r>
      <w:r>
        <w:rPr>
          <w:rFonts w:ascii="仿宋" w:hAnsi="仿宋" w:cs="仿宋"/>
          <w:color w:val="auto"/>
        </w:rPr>
        <w:br w:type="page"/>
      </w:r>
    </w:p>
    <w:p w14:paraId="46DFADF9">
      <w:pPr>
        <w:pStyle w:val="4"/>
        <w:rPr>
          <w:rFonts w:hint="eastAsia"/>
          <w:color w:val="auto"/>
        </w:rPr>
      </w:pPr>
      <w:bookmarkStart w:id="26" w:name="_Toc230106844"/>
      <w:r>
        <w:rPr>
          <w:color w:val="auto"/>
        </w:rPr>
        <w:t>接口与业务增长趋势分析</w:t>
      </w:r>
      <w:bookmarkEnd w:id="26"/>
    </w:p>
    <w:p w14:paraId="0E22028D">
      <w:pPr>
        <w:pStyle w:val="5"/>
        <w:rPr>
          <w:rFonts w:hint="eastAsia"/>
          <w:color w:val="auto"/>
        </w:rPr>
      </w:pPr>
      <w:r>
        <w:rPr>
          <w:color w:val="auto"/>
        </w:rPr>
        <w:t>委办局接入与接口增长</w:t>
      </w:r>
    </w:p>
    <w:p w14:paraId="49C8A494">
      <w:pPr>
        <w:pStyle w:val="42"/>
        <w:jc w:val="both"/>
        <w:rPr>
          <w:rFonts w:hint="eastAsia"/>
          <w:color w:val="auto"/>
        </w:rPr>
      </w:pPr>
      <w:r>
        <w:rPr>
          <w:color w:val="auto"/>
        </w:rPr>
        <w:t>随着"一网通办"工程的深入推进和数据共享需求的持续增长，接入平台的委办局数量和数据接口数量呈快速上升趋势。公安、人社、民政、市监、住建、交通、卫健等核心部门均对数据实时共享和交换提出了更高要求，且接口调用频次持续攀升，对平台并发处理能力提出了严峻挑战。</w:t>
      </w:r>
    </w:p>
    <w:p w14:paraId="315E94F0">
      <w:pPr>
        <w:pStyle w:val="42"/>
        <w:jc w:val="both"/>
        <w:rPr>
          <w:rFonts w:hint="eastAsia"/>
          <w:color w:val="auto"/>
        </w:rPr>
      </w:pPr>
      <w:r>
        <w:rPr>
          <w:color w:val="auto"/>
        </w:rPr>
        <w:t>以人社数据接口为例，该接口需要实时响应失业、社保、就业等多类数据查询，在工作日高峰时段，单一接口的并发调用量可达到每分钟数百次。而当前平台的Inceptor引擎在高并发场景下表现欠佳，接口响应时间随并发量增加而快速延长，严重影响前端业务系统的正常使用。</w:t>
      </w:r>
    </w:p>
    <w:p w14:paraId="1484867E">
      <w:pPr>
        <w:pStyle w:val="5"/>
        <w:rPr>
          <w:rFonts w:hint="eastAsia"/>
          <w:color w:val="auto"/>
        </w:rPr>
      </w:pPr>
      <w:r>
        <w:rPr>
          <w:color w:val="auto"/>
        </w:rPr>
        <w:t>实时业务需求增长</w:t>
      </w:r>
    </w:p>
    <w:p w14:paraId="3B28584E">
      <w:pPr>
        <w:pStyle w:val="42"/>
        <w:jc w:val="both"/>
        <w:rPr>
          <w:rFonts w:hint="eastAsia"/>
          <w:color w:val="auto"/>
        </w:rPr>
      </w:pPr>
      <w:r>
        <w:rPr>
          <w:color w:val="auto"/>
        </w:rPr>
        <w:t>当前，对数据实时性有强需求的业务场景正在快速增长：</w:t>
      </w:r>
    </w:p>
    <w:p w14:paraId="15D07B96">
      <w:pPr>
        <w:pStyle w:val="35"/>
        <w:widowControl/>
        <w:numPr>
          <w:ilvl w:val="0"/>
          <w:numId w:val="3"/>
        </w:numPr>
        <w:ind w:left="840" w:hanging="420"/>
        <w:contextualSpacing w:val="0"/>
        <w:rPr>
          <w:rFonts w:hint="eastAsia"/>
          <w:color w:val="auto"/>
        </w:rPr>
      </w:pPr>
      <w:r>
        <w:rPr>
          <w:rFonts w:ascii="仿宋" w:hAnsi="仿宋" w:cs="仿宋"/>
          <w:color w:val="auto"/>
        </w:rPr>
        <w:t>领导驾驶舱实时更新：领导驾驶舱要求各核心经济和社会治理指标实现5分钟级别的实时刷新，对平台实时计算能力要求极高。</w:t>
      </w:r>
    </w:p>
    <w:p w14:paraId="7A21D566">
      <w:pPr>
        <w:pStyle w:val="35"/>
        <w:widowControl/>
        <w:numPr>
          <w:ilvl w:val="0"/>
          <w:numId w:val="3"/>
        </w:numPr>
        <w:ind w:left="840" w:hanging="420"/>
        <w:contextualSpacing w:val="0"/>
        <w:rPr>
          <w:rFonts w:hint="eastAsia"/>
          <w:color w:val="auto"/>
        </w:rPr>
      </w:pPr>
      <w:r>
        <w:rPr>
          <w:rFonts w:ascii="仿宋" w:hAnsi="仿宋" w:cs="仿宋"/>
          <w:color w:val="auto"/>
        </w:rPr>
        <w:t>重大活动实时保障：进博会、全市重要会议等重大活动期间，需要对相关数据进行实时监测和展示，对平台实时响应能力要求严苛。</w:t>
      </w:r>
    </w:p>
    <w:p w14:paraId="7F0494D3">
      <w:pPr>
        <w:pStyle w:val="35"/>
        <w:widowControl/>
        <w:numPr>
          <w:ilvl w:val="0"/>
          <w:numId w:val="3"/>
        </w:numPr>
        <w:ind w:left="840" w:hanging="420"/>
        <w:contextualSpacing w:val="0"/>
        <w:rPr>
          <w:rFonts w:hint="eastAsia"/>
          <w:color w:val="auto"/>
        </w:rPr>
      </w:pPr>
      <w:r>
        <w:rPr>
          <w:rFonts w:ascii="仿宋" w:hAnsi="仿宋" w:cs="仿宋"/>
          <w:color w:val="auto"/>
        </w:rPr>
        <w:t>舆情监测与态势感知：公安、网信等部门要求对舆情、治安等数据进行实时分析和预警，需要平台具备毫秒级的流式处理能力。</w:t>
      </w:r>
    </w:p>
    <w:p w14:paraId="6DCE5CB5">
      <w:pPr>
        <w:pStyle w:val="35"/>
        <w:widowControl/>
        <w:numPr>
          <w:ilvl w:val="0"/>
          <w:numId w:val="3"/>
        </w:numPr>
        <w:ind w:left="840" w:hanging="420"/>
        <w:contextualSpacing w:val="0"/>
        <w:rPr>
          <w:rFonts w:hint="eastAsia"/>
          <w:color w:val="auto"/>
        </w:rPr>
      </w:pPr>
      <w:r>
        <w:rPr>
          <w:rFonts w:ascii="仿宋" w:hAnsi="仿宋" w:cs="仿宋"/>
          <w:color w:val="auto"/>
        </w:rPr>
        <w:t>现代城市运行管理：城市运行"一网统管"对交通、能源、环境等实时数据的分析处理提出了更高频次的要求。</w:t>
      </w:r>
    </w:p>
    <w:p w14:paraId="20C787EA">
      <w:pPr>
        <w:pStyle w:val="42"/>
        <w:jc w:val="both"/>
        <w:rPr>
          <w:rFonts w:hint="eastAsia"/>
          <w:color w:val="auto"/>
        </w:rPr>
      </w:pPr>
      <w:r>
        <w:rPr>
          <w:color w:val="auto"/>
        </w:rPr>
        <w:t>然而，现有平台的实时处理能力严重不足，上述需求大多只能以近似实时或小批量方式勉强应对，数据时效性存在较大欠缺，业务部门的实际需求长期无法得到有效满足。</w:t>
      </w:r>
    </w:p>
    <w:p w14:paraId="21B5CEBD">
      <w:pPr>
        <w:pStyle w:val="5"/>
        <w:rPr>
          <w:rFonts w:hint="eastAsia"/>
          <w:color w:val="auto"/>
        </w:rPr>
      </w:pPr>
      <w:r>
        <w:rPr>
          <w:color w:val="auto"/>
        </w:rPr>
        <w:t>复杂SQL业务增长</w:t>
      </w:r>
    </w:p>
    <w:p w14:paraId="56C8DB03">
      <w:pPr>
        <w:pStyle w:val="42"/>
        <w:jc w:val="both"/>
        <w:rPr>
          <w:rFonts w:hint="eastAsia"/>
          <w:color w:val="auto"/>
        </w:rPr>
      </w:pPr>
      <w:r>
        <w:rPr>
          <w:color w:val="auto"/>
        </w:rPr>
        <w:t>随着各委办局数据分析能力的不断提升，平台所承接的SQL任务复杂度持续上升。统计显示，包含多表关联（5表以上）、窗口函数、嵌套子查询的复杂SQL占比逐年提升，此类SQL在Inceptor引擎上的执行效率极低，通常需要数倍于现代MPP引擎的执行时间，严重拖累整体平台性能。</w:t>
      </w:r>
    </w:p>
    <w:p w14:paraId="7286DE53">
      <w:pPr>
        <w:pStyle w:val="4"/>
        <w:rPr>
          <w:rFonts w:hint="eastAsia"/>
          <w:color w:val="auto"/>
        </w:rPr>
      </w:pPr>
      <w:bookmarkStart w:id="27" w:name="_Toc230106845"/>
      <w:r>
        <w:rPr>
          <w:color w:val="auto"/>
        </w:rPr>
        <w:t>性能瓶颈专项分析</w:t>
      </w:r>
      <w:bookmarkEnd w:id="27"/>
    </w:p>
    <w:p w14:paraId="3B0C06FF">
      <w:pPr>
        <w:pStyle w:val="5"/>
        <w:rPr>
          <w:rFonts w:hint="eastAsia"/>
          <w:color w:val="auto"/>
        </w:rPr>
      </w:pPr>
      <w:r>
        <w:rPr>
          <w:color w:val="auto"/>
        </w:rPr>
        <w:t>基于真实测试数据的性能对比分析</w:t>
      </w:r>
    </w:p>
    <w:p w14:paraId="57752D64">
      <w:pPr>
        <w:pStyle w:val="42"/>
        <w:jc w:val="both"/>
        <w:rPr>
          <w:rFonts w:hint="eastAsia"/>
          <w:color w:val="auto"/>
        </w:rPr>
      </w:pPr>
      <w:r>
        <w:rPr>
          <w:color w:val="auto"/>
        </w:rPr>
        <w:t>为客观评估当前平台的性能瓶颈及升级改造后的预期收益，项目组委托第三方测试机构，在严格一致的测试环境下，对当前Inceptor引擎与新一代Argodb MPP引擎进行了全面的性能对比测试，测试结果如下：</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3"/>
        <w:gridCol w:w="2332"/>
        <w:gridCol w:w="2620"/>
        <w:gridCol w:w="1537"/>
      </w:tblGrid>
      <w:tr w14:paraId="64A0CD5B">
        <w:tc>
          <w:tcPr>
            <w:tcW w:w="1193" w:type="pct"/>
          </w:tcPr>
          <w:p w14:paraId="455B3D7A">
            <w:pPr>
              <w:pStyle w:val="43"/>
              <w:jc w:val="center"/>
              <w:rPr>
                <w:rFonts w:ascii="仿宋" w:hAnsi="仿宋" w:eastAsia="仿宋"/>
                <w:b/>
                <w:color w:val="auto"/>
                <w:sz w:val="24"/>
              </w:rPr>
            </w:pPr>
            <w:r>
              <w:rPr>
                <w:rFonts w:ascii="仿宋" w:hAnsi="仿宋" w:eastAsia="仿宋"/>
                <w:b/>
                <w:color w:val="auto"/>
                <w:sz w:val="24"/>
              </w:rPr>
              <w:t>测试指标</w:t>
            </w:r>
          </w:p>
        </w:tc>
        <w:tc>
          <w:tcPr>
            <w:tcW w:w="1368" w:type="pct"/>
          </w:tcPr>
          <w:p w14:paraId="58525D97">
            <w:pPr>
              <w:pStyle w:val="43"/>
              <w:jc w:val="center"/>
              <w:rPr>
                <w:rFonts w:ascii="仿宋" w:hAnsi="仿宋" w:eastAsia="仿宋"/>
                <w:b/>
                <w:color w:val="auto"/>
                <w:sz w:val="24"/>
              </w:rPr>
            </w:pPr>
            <w:r>
              <w:rPr>
                <w:rFonts w:ascii="仿宋" w:hAnsi="仿宋" w:eastAsia="仿宋"/>
                <w:b/>
                <w:color w:val="auto"/>
                <w:sz w:val="24"/>
              </w:rPr>
              <w:t>Inceptor（当前）</w:t>
            </w:r>
          </w:p>
        </w:tc>
        <w:tc>
          <w:tcPr>
            <w:tcW w:w="1537" w:type="pct"/>
          </w:tcPr>
          <w:p w14:paraId="6ADD55C0">
            <w:pPr>
              <w:pStyle w:val="43"/>
              <w:jc w:val="center"/>
              <w:rPr>
                <w:rFonts w:ascii="仿宋" w:hAnsi="仿宋" w:eastAsia="仿宋"/>
                <w:b/>
                <w:color w:val="auto"/>
                <w:sz w:val="24"/>
              </w:rPr>
            </w:pPr>
            <w:r>
              <w:rPr>
                <w:rFonts w:ascii="仿宋" w:hAnsi="仿宋" w:eastAsia="仿宋"/>
                <w:b/>
                <w:color w:val="auto"/>
                <w:sz w:val="24"/>
              </w:rPr>
              <w:t>Argodb（新引擎）</w:t>
            </w:r>
          </w:p>
        </w:tc>
        <w:tc>
          <w:tcPr>
            <w:tcW w:w="902" w:type="pct"/>
          </w:tcPr>
          <w:p w14:paraId="482F962B">
            <w:pPr>
              <w:pStyle w:val="43"/>
              <w:jc w:val="center"/>
              <w:rPr>
                <w:rFonts w:ascii="仿宋" w:hAnsi="仿宋" w:eastAsia="仿宋"/>
                <w:b/>
                <w:color w:val="auto"/>
                <w:sz w:val="24"/>
              </w:rPr>
            </w:pPr>
            <w:r>
              <w:rPr>
                <w:rFonts w:ascii="仿宋" w:hAnsi="仿宋" w:eastAsia="仿宋"/>
                <w:b/>
                <w:color w:val="auto"/>
                <w:sz w:val="24"/>
              </w:rPr>
              <w:t>性能提升</w:t>
            </w:r>
          </w:p>
        </w:tc>
      </w:tr>
      <w:tr w14:paraId="3322B662">
        <w:tc>
          <w:tcPr>
            <w:tcW w:w="1193" w:type="pct"/>
          </w:tcPr>
          <w:p w14:paraId="07F2FED1">
            <w:pPr>
              <w:pStyle w:val="43"/>
              <w:rPr>
                <w:rFonts w:ascii="仿宋" w:hAnsi="仿宋" w:eastAsia="仿宋"/>
                <w:color w:val="auto"/>
                <w:sz w:val="24"/>
              </w:rPr>
            </w:pPr>
            <w:r>
              <w:rPr>
                <w:rFonts w:ascii="仿宋" w:hAnsi="仿宋" w:eastAsia="仿宋"/>
                <w:color w:val="auto"/>
                <w:sz w:val="24"/>
              </w:rPr>
              <w:t>平均查询响应时间</w:t>
            </w:r>
          </w:p>
        </w:tc>
        <w:tc>
          <w:tcPr>
            <w:tcW w:w="1368" w:type="pct"/>
          </w:tcPr>
          <w:p w14:paraId="10265AD7">
            <w:pPr>
              <w:pStyle w:val="43"/>
              <w:jc w:val="center"/>
              <w:rPr>
                <w:rFonts w:ascii="仿宋" w:hAnsi="仿宋" w:eastAsia="仿宋"/>
                <w:color w:val="auto"/>
                <w:sz w:val="24"/>
              </w:rPr>
            </w:pPr>
            <w:r>
              <w:rPr>
                <w:rFonts w:ascii="仿宋" w:hAnsi="仿宋" w:eastAsia="仿宋"/>
                <w:color w:val="auto"/>
                <w:sz w:val="24"/>
              </w:rPr>
              <w:t>基准值</w:t>
            </w:r>
          </w:p>
        </w:tc>
        <w:tc>
          <w:tcPr>
            <w:tcW w:w="1537" w:type="pct"/>
          </w:tcPr>
          <w:p w14:paraId="2A77A573">
            <w:pPr>
              <w:pStyle w:val="43"/>
              <w:jc w:val="center"/>
              <w:rPr>
                <w:rFonts w:ascii="仿宋" w:hAnsi="仿宋" w:eastAsia="仿宋"/>
                <w:color w:val="auto"/>
                <w:sz w:val="24"/>
              </w:rPr>
            </w:pPr>
            <w:r>
              <w:rPr>
                <w:rFonts w:ascii="仿宋" w:hAnsi="仿宋" w:eastAsia="仿宋"/>
                <w:color w:val="auto"/>
                <w:sz w:val="24"/>
              </w:rPr>
              <w:t>提升约2.29倍</w:t>
            </w:r>
          </w:p>
        </w:tc>
        <w:tc>
          <w:tcPr>
            <w:tcW w:w="902" w:type="pct"/>
          </w:tcPr>
          <w:p w14:paraId="4B130139">
            <w:pPr>
              <w:pStyle w:val="43"/>
              <w:jc w:val="center"/>
              <w:rPr>
                <w:rFonts w:ascii="仿宋" w:hAnsi="仿宋" w:eastAsia="仿宋"/>
                <w:color w:val="auto"/>
                <w:sz w:val="24"/>
              </w:rPr>
            </w:pPr>
            <w:r>
              <w:rPr>
                <w:rFonts w:ascii="仿宋" w:hAnsi="仿宋" w:eastAsia="仿宋"/>
                <w:bCs/>
                <w:color w:val="auto"/>
                <w:sz w:val="24"/>
              </w:rPr>
              <w:t>↑ 129%</w:t>
            </w:r>
          </w:p>
        </w:tc>
      </w:tr>
      <w:tr w14:paraId="304F028E">
        <w:tc>
          <w:tcPr>
            <w:tcW w:w="1193" w:type="pct"/>
          </w:tcPr>
          <w:p w14:paraId="55BB9CCD">
            <w:pPr>
              <w:pStyle w:val="43"/>
              <w:rPr>
                <w:rFonts w:ascii="仿宋" w:hAnsi="仿宋" w:eastAsia="仿宋"/>
                <w:color w:val="auto"/>
                <w:sz w:val="24"/>
              </w:rPr>
            </w:pPr>
            <w:r>
              <w:rPr>
                <w:rFonts w:ascii="仿宋" w:hAnsi="仿宋" w:eastAsia="仿宋"/>
                <w:color w:val="auto"/>
                <w:sz w:val="24"/>
              </w:rPr>
              <w:t>夜间跑批总耗时</w:t>
            </w:r>
          </w:p>
        </w:tc>
        <w:tc>
          <w:tcPr>
            <w:tcW w:w="1368" w:type="pct"/>
          </w:tcPr>
          <w:p w14:paraId="197B3E17">
            <w:pPr>
              <w:pStyle w:val="43"/>
              <w:jc w:val="center"/>
              <w:rPr>
                <w:rFonts w:ascii="仿宋" w:hAnsi="仿宋" w:eastAsia="仿宋"/>
                <w:color w:val="auto"/>
                <w:sz w:val="24"/>
              </w:rPr>
            </w:pPr>
            <w:r>
              <w:rPr>
                <w:rFonts w:ascii="仿宋" w:hAnsi="仿宋" w:eastAsia="仿宋"/>
                <w:color w:val="auto"/>
                <w:sz w:val="24"/>
              </w:rPr>
              <w:t>约8小时</w:t>
            </w:r>
          </w:p>
        </w:tc>
        <w:tc>
          <w:tcPr>
            <w:tcW w:w="1537" w:type="pct"/>
          </w:tcPr>
          <w:p w14:paraId="2809B520">
            <w:pPr>
              <w:pStyle w:val="43"/>
              <w:jc w:val="center"/>
              <w:rPr>
                <w:rFonts w:ascii="仿宋" w:hAnsi="仿宋" w:eastAsia="仿宋"/>
                <w:color w:val="auto"/>
                <w:sz w:val="24"/>
              </w:rPr>
            </w:pPr>
            <w:r>
              <w:rPr>
                <w:rFonts w:ascii="仿宋" w:hAnsi="仿宋" w:eastAsia="仿宋"/>
                <w:color w:val="auto"/>
                <w:sz w:val="24"/>
              </w:rPr>
              <w:t>约3小时（预测）</w:t>
            </w:r>
          </w:p>
        </w:tc>
        <w:tc>
          <w:tcPr>
            <w:tcW w:w="902" w:type="pct"/>
          </w:tcPr>
          <w:p w14:paraId="17764C04">
            <w:pPr>
              <w:pStyle w:val="43"/>
              <w:jc w:val="center"/>
              <w:rPr>
                <w:rFonts w:ascii="仿宋" w:hAnsi="仿宋" w:eastAsia="仿宋"/>
                <w:color w:val="auto"/>
                <w:sz w:val="24"/>
              </w:rPr>
            </w:pPr>
            <w:r>
              <w:rPr>
                <w:rFonts w:ascii="仿宋" w:hAnsi="仿宋" w:eastAsia="仿宋"/>
                <w:color w:val="auto"/>
                <w:sz w:val="24"/>
              </w:rPr>
              <w:t>↓ 62.5%</w:t>
            </w:r>
          </w:p>
        </w:tc>
      </w:tr>
      <w:tr w14:paraId="01D9C36C">
        <w:tc>
          <w:tcPr>
            <w:tcW w:w="1193" w:type="pct"/>
          </w:tcPr>
          <w:p w14:paraId="6221D7E7">
            <w:pPr>
              <w:pStyle w:val="43"/>
              <w:rPr>
                <w:rFonts w:ascii="仿宋" w:hAnsi="仿宋" w:eastAsia="仿宋"/>
                <w:color w:val="auto"/>
                <w:sz w:val="24"/>
              </w:rPr>
            </w:pPr>
            <w:r>
              <w:rPr>
                <w:rFonts w:ascii="仿宋" w:hAnsi="仿宋" w:eastAsia="仿宋"/>
                <w:color w:val="auto"/>
                <w:sz w:val="24"/>
              </w:rPr>
              <w:t>CPU资源消耗</w:t>
            </w:r>
          </w:p>
        </w:tc>
        <w:tc>
          <w:tcPr>
            <w:tcW w:w="1368" w:type="pct"/>
          </w:tcPr>
          <w:p w14:paraId="47649C59">
            <w:pPr>
              <w:pStyle w:val="43"/>
              <w:jc w:val="center"/>
              <w:rPr>
                <w:rFonts w:ascii="仿宋" w:hAnsi="仿宋" w:eastAsia="仿宋"/>
                <w:color w:val="auto"/>
                <w:sz w:val="24"/>
              </w:rPr>
            </w:pPr>
            <w:r>
              <w:rPr>
                <w:rFonts w:ascii="仿宋" w:hAnsi="仿宋" w:eastAsia="仿宋"/>
                <w:color w:val="auto"/>
                <w:sz w:val="24"/>
              </w:rPr>
              <w:t>基准值</w:t>
            </w:r>
          </w:p>
        </w:tc>
        <w:tc>
          <w:tcPr>
            <w:tcW w:w="1537" w:type="pct"/>
          </w:tcPr>
          <w:p w14:paraId="79CEDD97">
            <w:pPr>
              <w:pStyle w:val="43"/>
              <w:jc w:val="center"/>
              <w:rPr>
                <w:rFonts w:ascii="仿宋" w:hAnsi="仿宋" w:eastAsia="仿宋"/>
                <w:color w:val="auto"/>
                <w:sz w:val="24"/>
              </w:rPr>
            </w:pPr>
            <w:r>
              <w:rPr>
                <w:rFonts w:ascii="仿宋" w:hAnsi="仿宋" w:eastAsia="仿宋"/>
                <w:color w:val="auto"/>
                <w:sz w:val="24"/>
              </w:rPr>
              <w:t>下降约70%</w:t>
            </w:r>
          </w:p>
        </w:tc>
        <w:tc>
          <w:tcPr>
            <w:tcW w:w="902" w:type="pct"/>
          </w:tcPr>
          <w:p w14:paraId="1017F334">
            <w:pPr>
              <w:pStyle w:val="43"/>
              <w:jc w:val="center"/>
              <w:rPr>
                <w:rFonts w:ascii="仿宋" w:hAnsi="仿宋" w:eastAsia="仿宋"/>
                <w:color w:val="auto"/>
                <w:sz w:val="24"/>
              </w:rPr>
            </w:pPr>
            <w:r>
              <w:rPr>
                <w:rFonts w:ascii="仿宋" w:hAnsi="仿宋" w:eastAsia="仿宋"/>
                <w:color w:val="auto"/>
                <w:sz w:val="24"/>
              </w:rPr>
              <w:t>↓ 70%</w:t>
            </w:r>
          </w:p>
        </w:tc>
      </w:tr>
      <w:tr w14:paraId="68DDC5C3">
        <w:tc>
          <w:tcPr>
            <w:tcW w:w="1193" w:type="pct"/>
          </w:tcPr>
          <w:p w14:paraId="1A2ABC2F">
            <w:pPr>
              <w:pStyle w:val="43"/>
              <w:rPr>
                <w:rFonts w:ascii="仿宋" w:hAnsi="仿宋" w:eastAsia="仿宋"/>
                <w:color w:val="auto"/>
                <w:sz w:val="24"/>
              </w:rPr>
            </w:pPr>
            <w:r>
              <w:rPr>
                <w:rFonts w:ascii="仿宋" w:hAnsi="仿宋" w:eastAsia="仿宋"/>
                <w:color w:val="auto"/>
                <w:sz w:val="24"/>
              </w:rPr>
              <w:t>并发处理能力</w:t>
            </w:r>
          </w:p>
        </w:tc>
        <w:tc>
          <w:tcPr>
            <w:tcW w:w="1368" w:type="pct"/>
          </w:tcPr>
          <w:p w14:paraId="74822885">
            <w:pPr>
              <w:pStyle w:val="43"/>
              <w:jc w:val="center"/>
              <w:rPr>
                <w:rFonts w:ascii="仿宋" w:hAnsi="仿宋" w:eastAsia="仿宋"/>
                <w:color w:val="auto"/>
                <w:sz w:val="24"/>
              </w:rPr>
            </w:pPr>
            <w:r>
              <w:rPr>
                <w:rFonts w:ascii="仿宋" w:hAnsi="仿宋" w:eastAsia="仿宋"/>
                <w:color w:val="auto"/>
                <w:sz w:val="24"/>
              </w:rPr>
              <w:t>有限（中等并发）</w:t>
            </w:r>
          </w:p>
        </w:tc>
        <w:tc>
          <w:tcPr>
            <w:tcW w:w="1537" w:type="pct"/>
          </w:tcPr>
          <w:p w14:paraId="4059782B">
            <w:pPr>
              <w:pStyle w:val="43"/>
              <w:jc w:val="center"/>
              <w:rPr>
                <w:rFonts w:ascii="仿宋" w:hAnsi="仿宋" w:eastAsia="仿宋"/>
                <w:color w:val="auto"/>
                <w:sz w:val="24"/>
              </w:rPr>
            </w:pPr>
            <w:r>
              <w:rPr>
                <w:rFonts w:ascii="仿宋" w:hAnsi="仿宋" w:eastAsia="仿宋"/>
                <w:color w:val="auto"/>
                <w:sz w:val="24"/>
              </w:rPr>
              <w:t>高并发支持</w:t>
            </w:r>
          </w:p>
        </w:tc>
        <w:tc>
          <w:tcPr>
            <w:tcW w:w="902" w:type="pct"/>
          </w:tcPr>
          <w:p w14:paraId="4363DB38">
            <w:pPr>
              <w:pStyle w:val="43"/>
              <w:jc w:val="center"/>
              <w:rPr>
                <w:rFonts w:ascii="仿宋" w:hAnsi="仿宋" w:eastAsia="仿宋"/>
                <w:color w:val="auto"/>
                <w:sz w:val="24"/>
              </w:rPr>
            </w:pPr>
            <w:r>
              <w:rPr>
                <w:rFonts w:ascii="仿宋" w:hAnsi="仿宋" w:eastAsia="仿宋"/>
                <w:color w:val="auto"/>
                <w:sz w:val="24"/>
              </w:rPr>
              <w:t>显著提升</w:t>
            </w:r>
          </w:p>
        </w:tc>
      </w:tr>
      <w:tr w14:paraId="3AC78DC8">
        <w:tc>
          <w:tcPr>
            <w:tcW w:w="1193" w:type="pct"/>
          </w:tcPr>
          <w:p w14:paraId="1EF8C28D">
            <w:pPr>
              <w:pStyle w:val="43"/>
              <w:rPr>
                <w:rFonts w:ascii="仿宋" w:hAnsi="仿宋" w:eastAsia="仿宋"/>
                <w:color w:val="auto"/>
                <w:sz w:val="24"/>
              </w:rPr>
            </w:pPr>
            <w:r>
              <w:rPr>
                <w:rFonts w:ascii="仿宋" w:hAnsi="仿宋" w:eastAsia="仿宋"/>
                <w:color w:val="auto"/>
                <w:sz w:val="24"/>
              </w:rPr>
              <w:t>实时分析延迟</w:t>
            </w:r>
          </w:p>
        </w:tc>
        <w:tc>
          <w:tcPr>
            <w:tcW w:w="1368" w:type="pct"/>
          </w:tcPr>
          <w:p w14:paraId="484C669A">
            <w:pPr>
              <w:pStyle w:val="43"/>
              <w:jc w:val="center"/>
              <w:rPr>
                <w:rFonts w:ascii="仿宋" w:hAnsi="仿宋" w:eastAsia="仿宋"/>
                <w:color w:val="auto"/>
                <w:sz w:val="24"/>
              </w:rPr>
            </w:pPr>
            <w:r>
              <w:rPr>
                <w:rFonts w:ascii="仿宋" w:hAnsi="仿宋" w:eastAsia="仿宋"/>
                <w:color w:val="auto"/>
                <w:sz w:val="24"/>
              </w:rPr>
              <w:t>分钟级（批次处理）</w:t>
            </w:r>
          </w:p>
        </w:tc>
        <w:tc>
          <w:tcPr>
            <w:tcW w:w="1537" w:type="pct"/>
          </w:tcPr>
          <w:p w14:paraId="3608F172">
            <w:pPr>
              <w:pStyle w:val="43"/>
              <w:jc w:val="center"/>
              <w:rPr>
                <w:rFonts w:ascii="仿宋" w:hAnsi="仿宋" w:eastAsia="仿宋"/>
                <w:color w:val="auto"/>
                <w:sz w:val="24"/>
              </w:rPr>
            </w:pPr>
            <w:r>
              <w:rPr>
                <w:rFonts w:ascii="仿宋" w:hAnsi="仿宋" w:eastAsia="仿宋"/>
                <w:color w:val="auto"/>
                <w:sz w:val="24"/>
              </w:rPr>
              <w:t>秒级（实时流处理）</w:t>
            </w:r>
          </w:p>
        </w:tc>
        <w:tc>
          <w:tcPr>
            <w:tcW w:w="902" w:type="pct"/>
          </w:tcPr>
          <w:p w14:paraId="1023718B">
            <w:pPr>
              <w:pStyle w:val="43"/>
              <w:jc w:val="center"/>
              <w:rPr>
                <w:rFonts w:ascii="仿宋" w:hAnsi="仿宋" w:eastAsia="仿宋"/>
                <w:color w:val="auto"/>
                <w:sz w:val="24"/>
              </w:rPr>
            </w:pPr>
            <w:r>
              <w:rPr>
                <w:rFonts w:ascii="仿宋" w:hAnsi="仿宋" w:eastAsia="仿宋"/>
                <w:color w:val="auto"/>
                <w:sz w:val="24"/>
              </w:rPr>
              <w:t>质的飞跃</w:t>
            </w:r>
          </w:p>
        </w:tc>
      </w:tr>
      <w:tr w14:paraId="2D6CA482">
        <w:tc>
          <w:tcPr>
            <w:tcW w:w="1193" w:type="pct"/>
          </w:tcPr>
          <w:p w14:paraId="1496F28C">
            <w:pPr>
              <w:pStyle w:val="43"/>
              <w:rPr>
                <w:rFonts w:ascii="仿宋" w:hAnsi="仿宋" w:eastAsia="仿宋"/>
                <w:color w:val="auto"/>
                <w:sz w:val="24"/>
              </w:rPr>
            </w:pPr>
            <w:r>
              <w:rPr>
                <w:rFonts w:ascii="仿宋" w:hAnsi="仿宋" w:eastAsia="仿宋"/>
                <w:color w:val="auto"/>
                <w:sz w:val="24"/>
              </w:rPr>
              <w:t>资源利用率</w:t>
            </w:r>
          </w:p>
        </w:tc>
        <w:tc>
          <w:tcPr>
            <w:tcW w:w="1368" w:type="pct"/>
          </w:tcPr>
          <w:p w14:paraId="7DE3A3DF">
            <w:pPr>
              <w:pStyle w:val="43"/>
              <w:jc w:val="center"/>
              <w:rPr>
                <w:rFonts w:ascii="仿宋" w:hAnsi="仿宋" w:eastAsia="仿宋"/>
                <w:color w:val="auto"/>
                <w:sz w:val="24"/>
              </w:rPr>
            </w:pPr>
            <w:r>
              <w:rPr>
                <w:rFonts w:ascii="仿宋" w:hAnsi="仿宋" w:eastAsia="仿宋"/>
                <w:color w:val="auto"/>
                <w:sz w:val="24"/>
              </w:rPr>
              <w:t>较低</w:t>
            </w:r>
          </w:p>
        </w:tc>
        <w:tc>
          <w:tcPr>
            <w:tcW w:w="1537" w:type="pct"/>
          </w:tcPr>
          <w:p w14:paraId="21129900">
            <w:pPr>
              <w:pStyle w:val="43"/>
              <w:jc w:val="center"/>
              <w:rPr>
                <w:rFonts w:ascii="仿宋" w:hAnsi="仿宋" w:eastAsia="仿宋"/>
                <w:color w:val="auto"/>
                <w:sz w:val="24"/>
              </w:rPr>
            </w:pPr>
            <w:r>
              <w:rPr>
                <w:rFonts w:ascii="仿宋" w:hAnsi="仿宋" w:eastAsia="仿宋"/>
                <w:color w:val="auto"/>
                <w:sz w:val="24"/>
              </w:rPr>
              <w:t>明显提升</w:t>
            </w:r>
          </w:p>
        </w:tc>
        <w:tc>
          <w:tcPr>
            <w:tcW w:w="902" w:type="pct"/>
          </w:tcPr>
          <w:p w14:paraId="6184598F">
            <w:pPr>
              <w:pStyle w:val="43"/>
              <w:jc w:val="center"/>
              <w:rPr>
                <w:rFonts w:ascii="仿宋" w:hAnsi="仿宋" w:eastAsia="仿宋"/>
                <w:color w:val="auto"/>
                <w:sz w:val="24"/>
              </w:rPr>
            </w:pPr>
            <w:r>
              <w:rPr>
                <w:rFonts w:ascii="仿宋" w:hAnsi="仿宋" w:eastAsia="仿宋"/>
                <w:bCs/>
                <w:color w:val="auto"/>
                <w:sz w:val="24"/>
              </w:rPr>
              <w:t>↑ 显著</w:t>
            </w:r>
          </w:p>
        </w:tc>
      </w:tr>
    </w:tbl>
    <w:p w14:paraId="3BEFD5BC">
      <w:pPr>
        <w:pStyle w:val="42"/>
        <w:ind w:firstLine="420"/>
        <w:jc w:val="both"/>
        <w:rPr>
          <w:rFonts w:hint="eastAsia"/>
          <w:color w:val="auto"/>
        </w:rPr>
      </w:pPr>
      <w:r>
        <w:rPr>
          <w:color w:val="auto"/>
        </w:rPr>
        <w:t>上述测试结果清晰表明，当前平台在性能方面存在系统性的能力短板，已成为制约全区政务数字化业务高质量发展的重要瓶颈。</w:t>
      </w:r>
    </w:p>
    <w:p w14:paraId="7AE76436">
      <w:pPr>
        <w:pStyle w:val="5"/>
        <w:rPr>
          <w:rFonts w:hint="eastAsia"/>
          <w:color w:val="auto"/>
        </w:rPr>
      </w:pPr>
      <w:r>
        <w:rPr>
          <w:color w:val="auto"/>
        </w:rPr>
        <w:t>物理机与虚拟机性能对比分析</w:t>
      </w:r>
    </w:p>
    <w:p w14:paraId="19FC606F">
      <w:pPr>
        <w:pStyle w:val="42"/>
        <w:jc w:val="both"/>
        <w:rPr>
          <w:rFonts w:hint="eastAsia"/>
          <w:color w:val="auto"/>
        </w:rPr>
      </w:pPr>
      <w:r>
        <w:rPr>
          <w:color w:val="auto"/>
        </w:rPr>
        <w:t>测试结果同时显示，在同等软件配置条件下，物理机环境相比虚拟化环境，平均性能提升约1.24倍。这一数据说明，在政务大数据的高负载运行场景下，底层硬件架构的选择对最终性能表现具有不可忽视的影响，物理机裸金属部署是保障平台高性能稳定运行的重要基础条件。</w:t>
      </w:r>
    </w:p>
    <w:p w14:paraId="020C3CB3">
      <w:pPr>
        <w:pStyle w:val="5"/>
        <w:rPr>
          <w:rFonts w:hint="eastAsia"/>
          <w:color w:val="auto"/>
        </w:rPr>
      </w:pPr>
      <w:r>
        <w:rPr>
          <w:color w:val="auto"/>
        </w:rPr>
        <w:t>夜间跑批时间窗口分析</w:t>
      </w:r>
    </w:p>
    <w:p w14:paraId="2A813F40">
      <w:pPr>
        <w:pStyle w:val="42"/>
        <w:jc w:val="both"/>
        <w:rPr>
          <w:rFonts w:hint="eastAsia"/>
          <w:color w:val="auto"/>
        </w:rPr>
      </w:pPr>
      <w:r>
        <w:rPr>
          <w:color w:val="auto"/>
        </w:rPr>
        <w:t>当前平台夜间批处理作业耗时约8小时（22:00—次日6:00），已基本填满整个可用时间窗口。随着数据量和任务数量的持续增加，跑批时间将进一步延长，突破时间窗口的风险不断加大。</w:t>
      </w:r>
    </w:p>
    <w:p w14:paraId="3B6431C6">
      <w:pPr>
        <w:pStyle w:val="42"/>
        <w:jc w:val="both"/>
        <w:rPr>
          <w:rFonts w:hint="eastAsia"/>
          <w:color w:val="auto"/>
        </w:rPr>
      </w:pPr>
      <w:r>
        <w:rPr>
          <w:color w:val="auto"/>
        </w:rPr>
        <w:t>基于测试数据，采用Argodb MPP引擎后，预计夜间跑批总耗时可由8小时缩短至约3小时，为平台留出充裕的维护、应急处理时间窗口，并为未来业务增长预留足够的计算时间空间。</w:t>
      </w:r>
    </w:p>
    <w:p w14:paraId="0DD65A44">
      <w:pPr>
        <w:ind w:firstLine="420"/>
        <w:rPr>
          <w:rFonts w:hint="eastAsia"/>
          <w:color w:val="auto"/>
        </w:rPr>
      </w:pPr>
      <w:r>
        <w:rPr>
          <w:rFonts w:ascii="仿宋" w:hAnsi="仿宋" w:cs="仿宋"/>
          <w:color w:val="auto"/>
        </w:rPr>
        <w:t>按照当前数据增长速度，预计12至18个月后，夜间跑批任务将突破8小时时间窗口，直接导致次日上班时间数据未能更新，严重影响"一网通办"、领导驾驶舱等核心业务系统的正常运行。</w:t>
      </w:r>
    </w:p>
    <w:p w14:paraId="7351944E">
      <w:pPr>
        <w:pStyle w:val="3"/>
        <w:rPr>
          <w:rFonts w:hint="eastAsia"/>
          <w:color w:val="auto"/>
        </w:rPr>
      </w:pPr>
      <w:bookmarkStart w:id="28" w:name="_Toc230106846"/>
      <w:r>
        <w:rPr>
          <w:rFonts w:hint="eastAsia"/>
          <w:color w:val="auto"/>
        </w:rPr>
        <w:t>安全需求分析</w:t>
      </w:r>
      <w:bookmarkEnd w:id="28"/>
    </w:p>
    <w:p w14:paraId="1BB3579E">
      <w:pPr>
        <w:pStyle w:val="4"/>
        <w:rPr>
          <w:rFonts w:hint="eastAsia"/>
          <w:color w:val="auto"/>
        </w:rPr>
      </w:pPr>
      <w:bookmarkStart w:id="29" w:name="_Toc230106847"/>
      <w:r>
        <w:rPr>
          <w:color w:val="auto"/>
        </w:rPr>
        <w:t>密评合规差距分析</w:t>
      </w:r>
      <w:bookmarkEnd w:id="29"/>
    </w:p>
    <w:p w14:paraId="4A3515CD">
      <w:pPr>
        <w:pStyle w:val="42"/>
        <w:jc w:val="both"/>
        <w:rPr>
          <w:rFonts w:hint="eastAsia"/>
          <w:color w:val="auto"/>
        </w:rPr>
      </w:pPr>
      <w:r>
        <w:rPr>
          <w:color w:val="auto"/>
        </w:rPr>
        <w:t>根据《商用密码应用安全性评估管理办法》及相关技术规范，凡涉及政务敏感数据的信息系统，均须通过商用密码应用安全性评估（简称"密评"）。密评对数据传输加密、数据存储加密、密钥管理、身份认证等核心安全能力提出了具体要求。</w:t>
      </w:r>
    </w:p>
    <w:p w14:paraId="7192254C">
      <w:pPr>
        <w:pStyle w:val="42"/>
        <w:jc w:val="both"/>
        <w:rPr>
          <w:rFonts w:hint="eastAsia"/>
          <w:color w:val="auto"/>
        </w:rPr>
      </w:pPr>
      <w:r>
        <w:rPr>
          <w:color w:val="auto"/>
        </w:rPr>
        <w:t>当前平台所使用的TDH 6.2版本不具备对密评技术要求的原生支持能力，主要差距体现在：</w:t>
      </w:r>
    </w:p>
    <w:p w14:paraId="0EADCDEC">
      <w:pPr>
        <w:pStyle w:val="35"/>
        <w:widowControl/>
        <w:numPr>
          <w:ilvl w:val="0"/>
          <w:numId w:val="3"/>
        </w:numPr>
        <w:ind w:left="840" w:hanging="420"/>
        <w:contextualSpacing w:val="0"/>
        <w:rPr>
          <w:rFonts w:hint="eastAsia"/>
          <w:color w:val="auto"/>
        </w:rPr>
      </w:pPr>
      <w:r>
        <w:rPr>
          <w:rFonts w:ascii="仿宋" w:hAnsi="仿宋" w:cs="仿宋"/>
          <w:color w:val="auto"/>
        </w:rPr>
        <w:t>数据透明加密缺失：平台现有架构不支持数据在存储层面的透明加密，数据以明文形式存储于分布式文件系统，存在较大的数据泄露风险。</w:t>
      </w:r>
    </w:p>
    <w:p w14:paraId="3CC18D35">
      <w:pPr>
        <w:pStyle w:val="35"/>
        <w:widowControl/>
        <w:numPr>
          <w:ilvl w:val="0"/>
          <w:numId w:val="3"/>
        </w:numPr>
        <w:ind w:left="840" w:hanging="420"/>
        <w:contextualSpacing w:val="0"/>
        <w:rPr>
          <w:rFonts w:hint="eastAsia"/>
          <w:color w:val="auto"/>
        </w:rPr>
      </w:pPr>
      <w:r>
        <w:rPr>
          <w:rFonts w:ascii="仿宋" w:hAnsi="仿宋" w:cs="仿宋"/>
          <w:color w:val="auto"/>
        </w:rPr>
        <w:t>密钥管理系统（KMS）缺失：平台缺乏专业的密钥管理机制，密钥分发、轮转、销毁等全生命周期管理能力严重不足，难以满足密评对密钥管理的要求。</w:t>
      </w:r>
    </w:p>
    <w:p w14:paraId="6853061D">
      <w:pPr>
        <w:pStyle w:val="35"/>
        <w:widowControl/>
        <w:numPr>
          <w:ilvl w:val="0"/>
          <w:numId w:val="3"/>
        </w:numPr>
        <w:ind w:left="840" w:hanging="420"/>
        <w:contextualSpacing w:val="0"/>
        <w:rPr>
          <w:rFonts w:hint="eastAsia"/>
          <w:color w:val="auto"/>
        </w:rPr>
      </w:pPr>
      <w:r>
        <w:rPr>
          <w:rFonts w:ascii="仿宋" w:hAnsi="仿宋" w:cs="仿宋"/>
          <w:color w:val="auto"/>
        </w:rPr>
        <w:t>国密算法支持不完善：平台对SM2、SM3、SM4等国密算法的支持程度有限，难以满足密评对加密算法国产化的要求。</w:t>
      </w:r>
    </w:p>
    <w:p w14:paraId="541E7AE6">
      <w:pPr>
        <w:spacing w:before="80" w:after="80"/>
        <w:ind w:firstLine="420"/>
        <w:rPr>
          <w:rFonts w:hint="eastAsia"/>
          <w:color w:val="auto"/>
        </w:rPr>
      </w:pPr>
      <w:r>
        <w:rPr>
          <w:rFonts w:ascii="仿宋" w:hAnsi="仿宋" w:cs="仿宋"/>
          <w:bCs/>
          <w:color w:val="auto"/>
        </w:rPr>
        <w:t>密评合规要求：相关主管部门已明确要求政务平台于近期完成密评整改。当前平台与密评要求差距较大，若不尽快启动升级改造，将面临合规审查风险。</w:t>
      </w:r>
    </w:p>
    <w:p w14:paraId="305DA6C4">
      <w:pPr>
        <w:pStyle w:val="4"/>
        <w:rPr>
          <w:rFonts w:hint="eastAsia"/>
          <w:color w:val="auto"/>
        </w:rPr>
      </w:pPr>
      <w:bookmarkStart w:id="30" w:name="_Toc230106848"/>
      <w:r>
        <w:rPr>
          <w:color w:val="auto"/>
        </w:rPr>
        <w:t>信创改造合规要求</w:t>
      </w:r>
      <w:bookmarkEnd w:id="30"/>
    </w:p>
    <w:p w14:paraId="13D3858C">
      <w:pPr>
        <w:pStyle w:val="42"/>
        <w:jc w:val="both"/>
        <w:rPr>
          <w:rFonts w:hint="eastAsia"/>
          <w:color w:val="auto"/>
        </w:rPr>
      </w:pPr>
      <w:r>
        <w:rPr>
          <w:color w:val="auto"/>
        </w:rPr>
        <w:t>根据国家"十四五"信创推广政策和上海市信创推广目录要求，政务核心系统须在规定时限内完成向国产软硬件体系的迁移。当前平台在信创改造方面存在以下主要差距：</w:t>
      </w:r>
    </w:p>
    <w:p w14:paraId="34B70541">
      <w:pPr>
        <w:pStyle w:val="35"/>
        <w:widowControl/>
        <w:numPr>
          <w:ilvl w:val="0"/>
          <w:numId w:val="3"/>
        </w:numPr>
        <w:ind w:left="840" w:hanging="420"/>
        <w:contextualSpacing w:val="0"/>
        <w:rPr>
          <w:rFonts w:hint="eastAsia"/>
          <w:color w:val="auto"/>
        </w:rPr>
      </w:pPr>
      <w:r>
        <w:rPr>
          <w:rFonts w:ascii="仿宋" w:hAnsi="仿宋" w:cs="仿宋"/>
          <w:color w:val="auto"/>
        </w:rPr>
        <w:t>核心组件存在境外技术依赖：Hadoop生态部分核心组件来自境外开源社区，在当前国际形势下存在供应链安全风险，不符合信创改造的核心目标。</w:t>
      </w:r>
    </w:p>
    <w:p w14:paraId="6C516DB2">
      <w:pPr>
        <w:pStyle w:val="35"/>
        <w:widowControl/>
        <w:numPr>
          <w:ilvl w:val="0"/>
          <w:numId w:val="3"/>
        </w:numPr>
        <w:ind w:left="840" w:hanging="420"/>
        <w:contextualSpacing w:val="0"/>
        <w:rPr>
          <w:rFonts w:hint="eastAsia"/>
          <w:color w:val="auto"/>
        </w:rPr>
      </w:pPr>
      <w:r>
        <w:rPr>
          <w:rFonts w:ascii="仿宋" w:hAnsi="仿宋" w:cs="仿宋"/>
          <w:color w:val="auto"/>
        </w:rPr>
        <w:t>操作系统尚未完成国产替代：当前运行环境的操作系统尚未切换至国产操作系统（如麒麟、统信等），不满足信创改造要求。</w:t>
      </w:r>
    </w:p>
    <w:p w14:paraId="0AEA32C3">
      <w:pPr>
        <w:pStyle w:val="35"/>
        <w:widowControl/>
        <w:numPr>
          <w:ilvl w:val="0"/>
          <w:numId w:val="3"/>
        </w:numPr>
        <w:ind w:left="840" w:hanging="420"/>
        <w:contextualSpacing w:val="0"/>
        <w:rPr>
          <w:rFonts w:hint="eastAsia"/>
          <w:color w:val="auto"/>
        </w:rPr>
      </w:pPr>
      <w:r>
        <w:rPr>
          <w:rFonts w:ascii="仿宋" w:hAnsi="仿宋" w:cs="仿宋"/>
          <w:color w:val="auto"/>
        </w:rPr>
        <w:t>数据库引擎国产化程度不足：现有分析引擎尚未通过信创产品认证，不符合相关政策要求。</w:t>
      </w:r>
    </w:p>
    <w:p w14:paraId="55AA284C">
      <w:pPr>
        <w:pStyle w:val="4"/>
        <w:rPr>
          <w:rFonts w:hint="eastAsia"/>
          <w:color w:val="auto"/>
        </w:rPr>
      </w:pPr>
      <w:bookmarkStart w:id="31" w:name="_Toc230106849"/>
      <w:r>
        <w:rPr>
          <w:color w:val="auto"/>
        </w:rPr>
        <w:t>数据安全合规风险</w:t>
      </w:r>
      <w:bookmarkEnd w:id="31"/>
    </w:p>
    <w:p w14:paraId="7BD8D40E">
      <w:pPr>
        <w:ind w:firstLine="420"/>
        <w:rPr>
          <w:rFonts w:hint="eastAsia"/>
          <w:color w:val="auto"/>
        </w:rPr>
      </w:pPr>
      <w:r>
        <w:rPr>
          <w:rFonts w:ascii="仿宋" w:hAnsi="仿宋" w:cs="仿宋"/>
          <w:color w:val="auto"/>
        </w:rPr>
        <w:t>随着《数据安全法》《个人信息保护法》的正式施行，政务数据在采集、存储、处理、共享全链条均面临更严格的合规要求。当前平台在数据分类分级、敏感数据访问控制、数据水印溯源等方面的能力存在较明显缺口，一旦发生数据安全事件，将面临严重的法律责任和政治影响。</w:t>
      </w:r>
    </w:p>
    <w:p w14:paraId="484C253B">
      <w:pPr>
        <w:pStyle w:val="3"/>
        <w:rPr>
          <w:rFonts w:hint="eastAsia"/>
          <w:color w:val="auto"/>
        </w:rPr>
      </w:pPr>
      <w:bookmarkStart w:id="32" w:name="_Toc230106850"/>
      <w:r>
        <w:rPr>
          <w:rFonts w:hint="eastAsia"/>
          <w:color w:val="auto"/>
        </w:rPr>
        <w:t>设备需求分析</w:t>
      </w:r>
      <w:bookmarkEnd w:id="32"/>
    </w:p>
    <w:p w14:paraId="2C3D23EC">
      <w:pPr>
        <w:pStyle w:val="42"/>
        <w:jc w:val="both"/>
        <w:rPr>
          <w:rFonts w:hint="eastAsia"/>
          <w:color w:val="auto"/>
        </w:rPr>
      </w:pPr>
      <w:r>
        <w:rPr>
          <w:rFonts w:hint="eastAsia"/>
          <w:color w:val="auto"/>
          <w:szCs w:val="22"/>
        </w:rPr>
        <w:t>需</w:t>
      </w:r>
      <w:r>
        <w:rPr>
          <w:color w:val="auto"/>
          <w:szCs w:val="22"/>
        </w:rPr>
        <w:t>引入ARM节点统一安装国产操作系统，具体要求如下：</w:t>
      </w:r>
    </w:p>
    <w:p w14:paraId="4097E642">
      <w:pPr>
        <w:pStyle w:val="35"/>
        <w:widowControl/>
        <w:numPr>
          <w:ilvl w:val="0"/>
          <w:numId w:val="5"/>
        </w:numPr>
        <w:ind w:left="840" w:hanging="420"/>
        <w:contextualSpacing w:val="0"/>
        <w:rPr>
          <w:rFonts w:hint="eastAsia"/>
          <w:color w:val="auto"/>
        </w:rPr>
      </w:pPr>
      <w:r>
        <w:rPr>
          <w:rFonts w:ascii="仿宋" w:hAnsi="仿宋" w:cs="仿宋"/>
          <w:color w:val="auto"/>
          <w:szCs w:val="22"/>
        </w:rPr>
        <w:t>操作系统版本：银河麒麟高级服务器操作系统V10 SP2（ARM版）或统信UOS服务器版V20</w:t>
      </w:r>
      <w:r>
        <w:rPr>
          <w:rFonts w:hint="eastAsia" w:ascii="仿宋" w:hAnsi="仿宋" w:cs="仿宋"/>
          <w:color w:val="auto"/>
          <w:szCs w:val="22"/>
        </w:rPr>
        <w:t>。</w:t>
      </w:r>
    </w:p>
    <w:p w14:paraId="1E693D6F">
      <w:pPr>
        <w:pStyle w:val="35"/>
        <w:widowControl/>
        <w:numPr>
          <w:ilvl w:val="0"/>
          <w:numId w:val="5"/>
        </w:numPr>
        <w:ind w:left="840" w:hanging="420"/>
        <w:contextualSpacing w:val="0"/>
        <w:rPr>
          <w:rFonts w:hint="eastAsia"/>
          <w:color w:val="auto"/>
        </w:rPr>
      </w:pPr>
      <w:r>
        <w:rPr>
          <w:rFonts w:ascii="仿宋" w:hAnsi="仿宋" w:cs="仿宋"/>
          <w:color w:val="auto"/>
          <w:szCs w:val="22"/>
        </w:rPr>
        <w:t>内核版本：≥5.10，支持cgroup v2，满足TDH 9.3对内核参数的要求</w:t>
      </w:r>
      <w:r>
        <w:rPr>
          <w:rFonts w:hint="eastAsia" w:ascii="仿宋" w:hAnsi="仿宋" w:cs="仿宋"/>
          <w:color w:val="auto"/>
          <w:szCs w:val="22"/>
        </w:rPr>
        <w:t>。</w:t>
      </w:r>
    </w:p>
    <w:p w14:paraId="46667B6E">
      <w:pPr>
        <w:pStyle w:val="35"/>
        <w:widowControl/>
        <w:numPr>
          <w:ilvl w:val="0"/>
          <w:numId w:val="5"/>
        </w:numPr>
        <w:ind w:left="840" w:hanging="420"/>
        <w:contextualSpacing w:val="0"/>
        <w:rPr>
          <w:rFonts w:hint="eastAsia"/>
          <w:color w:val="auto"/>
        </w:rPr>
      </w:pPr>
      <w:r>
        <w:rPr>
          <w:rFonts w:ascii="仿宋" w:hAnsi="仿宋" w:cs="仿宋"/>
          <w:color w:val="auto"/>
          <w:szCs w:val="22"/>
        </w:rPr>
        <w:t>文件系统：ext4/xfs，挂载参数按TDH最佳实践配置</w:t>
      </w:r>
      <w:r>
        <w:rPr>
          <w:rFonts w:hint="eastAsia" w:ascii="仿宋" w:hAnsi="仿宋" w:cs="仿宋"/>
          <w:color w:val="auto"/>
          <w:szCs w:val="22"/>
        </w:rPr>
        <w:t>。</w:t>
      </w:r>
    </w:p>
    <w:p w14:paraId="6499F5F6">
      <w:pPr>
        <w:pStyle w:val="35"/>
        <w:widowControl/>
        <w:numPr>
          <w:ilvl w:val="0"/>
          <w:numId w:val="5"/>
        </w:numPr>
        <w:ind w:left="840" w:hanging="420"/>
        <w:contextualSpacing w:val="0"/>
        <w:rPr>
          <w:rFonts w:hint="eastAsia"/>
          <w:color w:val="auto"/>
        </w:rPr>
      </w:pPr>
      <w:r>
        <w:rPr>
          <w:rFonts w:ascii="仿宋" w:hAnsi="仿宋" w:cs="仿宋"/>
          <w:color w:val="auto"/>
          <w:szCs w:val="22"/>
        </w:rPr>
        <w:t>网络协议栈：优化TCP缓冲区、中断绑定等内核参数，降低网络延迟</w:t>
      </w:r>
      <w:r>
        <w:rPr>
          <w:rFonts w:hint="eastAsia" w:ascii="仿宋" w:hAnsi="仿宋" w:cs="仿宋"/>
          <w:color w:val="auto"/>
          <w:szCs w:val="22"/>
        </w:rPr>
        <w:t>。</w:t>
      </w:r>
    </w:p>
    <w:p w14:paraId="017DD7C1">
      <w:pPr>
        <w:pStyle w:val="35"/>
        <w:widowControl/>
        <w:numPr>
          <w:ilvl w:val="0"/>
          <w:numId w:val="5"/>
        </w:numPr>
        <w:ind w:left="840" w:hanging="420"/>
        <w:contextualSpacing w:val="0"/>
        <w:rPr>
          <w:rFonts w:hint="eastAsia"/>
          <w:color w:val="auto"/>
        </w:rPr>
      </w:pPr>
      <w:r>
        <w:rPr>
          <w:rFonts w:ascii="仿宋" w:hAnsi="仿宋" w:cs="仿宋"/>
          <w:color w:val="auto"/>
          <w:szCs w:val="22"/>
        </w:rPr>
        <w:t>安全加固：关闭不必要服务，开启审计日志，按等保要求完成基线加固</w:t>
      </w:r>
      <w:r>
        <w:rPr>
          <w:rFonts w:hint="eastAsia" w:ascii="仿宋" w:hAnsi="仿宋" w:cs="仿宋"/>
          <w:color w:val="auto"/>
          <w:szCs w:val="22"/>
        </w:rPr>
        <w:t>。</w:t>
      </w:r>
    </w:p>
    <w:p w14:paraId="53CAC47B">
      <w:pPr>
        <w:pStyle w:val="3"/>
        <w:rPr>
          <w:rFonts w:hint="eastAsia"/>
          <w:color w:val="auto"/>
        </w:rPr>
      </w:pPr>
      <w:bookmarkStart w:id="33" w:name="_Toc230106851"/>
      <w:r>
        <w:rPr>
          <w:rFonts w:hint="eastAsia"/>
          <w:color w:val="auto"/>
        </w:rPr>
        <w:t>软件需求分析</w:t>
      </w:r>
      <w:bookmarkEnd w:id="33"/>
    </w:p>
    <w:p w14:paraId="24E07376">
      <w:pPr>
        <w:pStyle w:val="4"/>
        <w:rPr>
          <w:rFonts w:hint="eastAsia"/>
          <w:color w:val="auto"/>
        </w:rPr>
      </w:pPr>
      <w:bookmarkStart w:id="34" w:name="_Toc230106852"/>
      <w:r>
        <w:rPr>
          <w:color w:val="auto"/>
        </w:rPr>
        <w:t>Hadoop生态架构的固有局限</w:t>
      </w:r>
      <w:bookmarkEnd w:id="34"/>
    </w:p>
    <w:p w14:paraId="51BA2D77">
      <w:pPr>
        <w:pStyle w:val="42"/>
        <w:jc w:val="both"/>
        <w:rPr>
          <w:rFonts w:hint="eastAsia"/>
          <w:color w:val="auto"/>
        </w:rPr>
      </w:pPr>
      <w:r>
        <w:rPr>
          <w:color w:val="auto"/>
        </w:rPr>
        <w:t>浦东新区大数据平台现有核心架构基于Hadoop生态体系，该体系在2010年代初期是大数据处理领域的主流选择。然而，随着信息技术的持续演进和业务需求的深刻变化，Hadoop架构的固有局限性日益突出：</w:t>
      </w:r>
    </w:p>
    <w:p w14:paraId="6E6EFF86">
      <w:pPr>
        <w:pStyle w:val="35"/>
        <w:widowControl/>
        <w:numPr>
          <w:ilvl w:val="0"/>
          <w:numId w:val="3"/>
        </w:numPr>
        <w:ind w:left="840" w:hanging="420"/>
        <w:contextualSpacing w:val="0"/>
        <w:rPr>
          <w:rFonts w:hint="eastAsia"/>
          <w:color w:val="auto"/>
        </w:rPr>
      </w:pPr>
      <w:r>
        <w:rPr>
          <w:rFonts w:ascii="仿宋" w:hAnsi="仿宋" w:cs="仿宋"/>
          <w:color w:val="auto"/>
        </w:rPr>
        <w:t>架构复杂度高：Hadoop生态体系由数十个组件构成，每个组件负责特定功能，组件间通过复杂的接口和协议进行交互，整体架构复杂度极高，无论是部署、配置还是日常运维，均需要专业技术团队介入。</w:t>
      </w:r>
    </w:p>
    <w:p w14:paraId="334DBAF5">
      <w:pPr>
        <w:pStyle w:val="35"/>
        <w:widowControl/>
        <w:numPr>
          <w:ilvl w:val="0"/>
          <w:numId w:val="3"/>
        </w:numPr>
        <w:ind w:left="840" w:hanging="420"/>
        <w:contextualSpacing w:val="0"/>
        <w:rPr>
          <w:rFonts w:hint="eastAsia"/>
          <w:color w:val="auto"/>
        </w:rPr>
      </w:pPr>
      <w:r>
        <w:rPr>
          <w:rFonts w:ascii="仿宋" w:hAnsi="仿宋" w:cs="仿宋"/>
          <w:color w:val="auto"/>
        </w:rPr>
        <w:t>计算模式落后：Hadoop以MapReduce为核心计算范式，每次作业都需要将中间结果写入HDFS磁盘，磁盘I/O开销极大，导致复杂分析任务的执行效率显著低于现代内存计算架构。</w:t>
      </w:r>
    </w:p>
    <w:p w14:paraId="480A0579">
      <w:pPr>
        <w:pStyle w:val="35"/>
        <w:widowControl/>
        <w:numPr>
          <w:ilvl w:val="0"/>
          <w:numId w:val="3"/>
        </w:numPr>
        <w:ind w:left="840" w:hanging="420"/>
        <w:contextualSpacing w:val="0"/>
        <w:rPr>
          <w:rFonts w:hint="eastAsia"/>
          <w:color w:val="auto"/>
        </w:rPr>
      </w:pPr>
      <w:r>
        <w:rPr>
          <w:rFonts w:ascii="仿宋" w:hAnsi="仿宋" w:cs="仿宋"/>
          <w:color w:val="auto"/>
        </w:rPr>
        <w:t>实时处理能力弱：原生Hadoop架构面向批处理设计，对流式处理和实时分析的支持能力严重不足，需要额外叠加Kafka、</w:t>
      </w:r>
      <w:r>
        <w:rPr>
          <w:rFonts w:hint="eastAsia" w:cs="仿宋"/>
          <w:color w:val="auto"/>
        </w:rPr>
        <w:t>Slipstream</w:t>
      </w:r>
      <w:r>
        <w:rPr>
          <w:rFonts w:ascii="仿宋" w:hAnsi="仿宋" w:cs="仿宋"/>
          <w:color w:val="auto"/>
        </w:rPr>
        <w:t>等组件才能实现有限的实时处理能力，进一步增加了架构复杂度。</w:t>
      </w:r>
    </w:p>
    <w:p w14:paraId="4380BCD6">
      <w:pPr>
        <w:pStyle w:val="35"/>
        <w:widowControl/>
        <w:numPr>
          <w:ilvl w:val="0"/>
          <w:numId w:val="3"/>
        </w:numPr>
        <w:ind w:left="840" w:hanging="420"/>
        <w:contextualSpacing w:val="0"/>
        <w:rPr>
          <w:rFonts w:hint="eastAsia"/>
          <w:color w:val="auto"/>
        </w:rPr>
      </w:pPr>
      <w:r>
        <w:rPr>
          <w:rFonts w:ascii="仿宋" w:hAnsi="仿宋" w:cs="仿宋"/>
          <w:color w:val="auto"/>
        </w:rPr>
        <w:t>扩展效率低：Hadoop集群在扩容时需经历数据重均衡过程，对集群性能影响较大；在缩容时，数据迁移工作量巨大，灵活性严重不足，无法实现现代云原生平台的弹性伸缩能力。</w:t>
      </w:r>
    </w:p>
    <w:p w14:paraId="3CD93B54">
      <w:pPr>
        <w:pStyle w:val="35"/>
        <w:widowControl/>
        <w:numPr>
          <w:ilvl w:val="0"/>
          <w:numId w:val="3"/>
        </w:numPr>
        <w:ind w:left="840" w:hanging="420"/>
        <w:contextualSpacing w:val="0"/>
        <w:rPr>
          <w:rFonts w:hint="eastAsia"/>
          <w:color w:val="auto"/>
        </w:rPr>
      </w:pPr>
      <w:r>
        <w:rPr>
          <w:rFonts w:ascii="仿宋" w:hAnsi="仿宋" w:cs="仿宋"/>
          <w:color w:val="auto"/>
        </w:rPr>
        <w:t>资源利用率低：Hadoop生态以YARN为资源管理核心，但其资源调度粒度较粗，且存在资源隔离不彻底的问题，在多租户场景下资源利用率普遍偏低，容易出现"用不完"和"不够用"并存的尴尬局面。</w:t>
      </w:r>
    </w:p>
    <w:p w14:paraId="74C5DA55">
      <w:pPr>
        <w:pStyle w:val="4"/>
        <w:rPr>
          <w:rFonts w:hint="eastAsia"/>
          <w:color w:val="auto"/>
        </w:rPr>
      </w:pPr>
      <w:bookmarkStart w:id="35" w:name="_Toc230106853"/>
      <w:r>
        <w:rPr>
          <w:color w:val="auto"/>
        </w:rPr>
        <w:t>Inceptor引擎的技术局限</w:t>
      </w:r>
      <w:bookmarkEnd w:id="35"/>
    </w:p>
    <w:p w14:paraId="6555E065">
      <w:pPr>
        <w:pStyle w:val="42"/>
        <w:jc w:val="both"/>
        <w:rPr>
          <w:rFonts w:hint="eastAsia"/>
          <w:color w:val="auto"/>
        </w:rPr>
      </w:pPr>
      <w:r>
        <w:rPr>
          <w:color w:val="auto"/>
        </w:rPr>
        <w:t>当前平台的核心分析引擎Inceptor是基于Hadoop生态发展而来的SQL分析引擎，尽管相较于原生Hive有所提升，但其技术架构仍未摆脱Hadoop批处理范式的根本限制。在与现代MPP（大规模并行处理）架构的分析引擎相比较时，Inceptor在以下关键维度存在明显差距：</w:t>
      </w:r>
    </w:p>
    <w:tbl>
      <w:tblPr>
        <w:tblStyle w:val="1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400"/>
        <w:gridCol w:w="3090"/>
        <w:gridCol w:w="1710"/>
      </w:tblGrid>
      <w:tr w14:paraId="37195527">
        <w:tc>
          <w:tcPr>
            <w:tcW w:w="2160" w:type="dxa"/>
          </w:tcPr>
          <w:p w14:paraId="2A8E63BA">
            <w:pPr>
              <w:pStyle w:val="43"/>
              <w:jc w:val="center"/>
              <w:rPr>
                <w:rFonts w:ascii="仿宋" w:hAnsi="仿宋" w:eastAsia="仿宋"/>
                <w:b/>
                <w:color w:val="auto"/>
                <w:sz w:val="24"/>
              </w:rPr>
            </w:pPr>
            <w:r>
              <w:rPr>
                <w:rFonts w:ascii="仿宋" w:hAnsi="仿宋" w:eastAsia="仿宋"/>
                <w:b/>
                <w:color w:val="auto"/>
                <w:sz w:val="24"/>
              </w:rPr>
              <w:t>对比维度</w:t>
            </w:r>
          </w:p>
        </w:tc>
        <w:tc>
          <w:tcPr>
            <w:tcW w:w="2400" w:type="dxa"/>
          </w:tcPr>
          <w:p w14:paraId="339492AA">
            <w:pPr>
              <w:pStyle w:val="43"/>
              <w:jc w:val="center"/>
              <w:rPr>
                <w:rFonts w:ascii="仿宋" w:hAnsi="仿宋" w:eastAsia="仿宋"/>
                <w:b/>
                <w:color w:val="auto"/>
                <w:sz w:val="24"/>
              </w:rPr>
            </w:pPr>
            <w:r>
              <w:rPr>
                <w:rFonts w:ascii="仿宋" w:hAnsi="仿宋" w:eastAsia="仿宋"/>
                <w:b/>
                <w:color w:val="auto"/>
                <w:sz w:val="24"/>
              </w:rPr>
              <w:t>Inceptor（当前）</w:t>
            </w:r>
          </w:p>
        </w:tc>
        <w:tc>
          <w:tcPr>
            <w:tcW w:w="3090" w:type="dxa"/>
          </w:tcPr>
          <w:p w14:paraId="65CB5128">
            <w:pPr>
              <w:pStyle w:val="43"/>
              <w:jc w:val="center"/>
              <w:rPr>
                <w:rFonts w:ascii="仿宋" w:hAnsi="仿宋" w:eastAsia="仿宋"/>
                <w:b/>
                <w:color w:val="auto"/>
                <w:sz w:val="24"/>
              </w:rPr>
            </w:pPr>
            <w:r>
              <w:rPr>
                <w:rFonts w:ascii="仿宋" w:hAnsi="仿宋" w:eastAsia="仿宋"/>
                <w:b/>
                <w:color w:val="auto"/>
                <w:sz w:val="24"/>
              </w:rPr>
              <w:t>现代MPP引擎（Argodb）</w:t>
            </w:r>
          </w:p>
        </w:tc>
        <w:tc>
          <w:tcPr>
            <w:tcW w:w="1710" w:type="dxa"/>
          </w:tcPr>
          <w:p w14:paraId="43F55DB9">
            <w:pPr>
              <w:pStyle w:val="43"/>
              <w:jc w:val="center"/>
              <w:rPr>
                <w:rFonts w:ascii="仿宋" w:hAnsi="仿宋" w:eastAsia="仿宋"/>
                <w:b/>
                <w:color w:val="auto"/>
                <w:sz w:val="24"/>
              </w:rPr>
            </w:pPr>
            <w:r>
              <w:rPr>
                <w:rFonts w:ascii="仿宋" w:hAnsi="仿宋" w:eastAsia="仿宋"/>
                <w:b/>
                <w:color w:val="auto"/>
                <w:sz w:val="24"/>
              </w:rPr>
              <w:t>差距评估</w:t>
            </w:r>
          </w:p>
        </w:tc>
      </w:tr>
      <w:tr w14:paraId="16D6F0CD">
        <w:tc>
          <w:tcPr>
            <w:tcW w:w="2160" w:type="dxa"/>
          </w:tcPr>
          <w:p w14:paraId="61E495ED">
            <w:pPr>
              <w:pStyle w:val="43"/>
              <w:rPr>
                <w:rFonts w:ascii="仿宋" w:hAnsi="仿宋" w:eastAsia="仿宋"/>
                <w:color w:val="auto"/>
                <w:sz w:val="24"/>
              </w:rPr>
            </w:pPr>
            <w:r>
              <w:rPr>
                <w:rFonts w:ascii="仿宋" w:hAnsi="仿宋" w:eastAsia="仿宋"/>
                <w:color w:val="auto"/>
                <w:sz w:val="24"/>
              </w:rPr>
              <w:t>SQL执行效率</w:t>
            </w:r>
          </w:p>
        </w:tc>
        <w:tc>
          <w:tcPr>
            <w:tcW w:w="2400" w:type="dxa"/>
          </w:tcPr>
          <w:p w14:paraId="1958A05B">
            <w:pPr>
              <w:pStyle w:val="43"/>
              <w:rPr>
                <w:rFonts w:ascii="仿宋" w:hAnsi="仿宋" w:eastAsia="仿宋"/>
                <w:color w:val="auto"/>
                <w:sz w:val="24"/>
              </w:rPr>
            </w:pPr>
            <w:r>
              <w:rPr>
                <w:rFonts w:ascii="仿宋" w:hAnsi="仿宋" w:eastAsia="仿宋"/>
                <w:color w:val="auto"/>
                <w:sz w:val="24"/>
              </w:rPr>
              <w:t>中等</w:t>
            </w:r>
          </w:p>
        </w:tc>
        <w:tc>
          <w:tcPr>
            <w:tcW w:w="3090" w:type="dxa"/>
          </w:tcPr>
          <w:p w14:paraId="780C952D">
            <w:pPr>
              <w:pStyle w:val="43"/>
              <w:rPr>
                <w:rFonts w:ascii="仿宋" w:hAnsi="仿宋" w:eastAsia="仿宋"/>
                <w:color w:val="auto"/>
                <w:sz w:val="24"/>
              </w:rPr>
            </w:pPr>
            <w:r>
              <w:rPr>
                <w:rFonts w:ascii="仿宋" w:hAnsi="仿宋" w:eastAsia="仿宋"/>
                <w:color w:val="auto"/>
                <w:sz w:val="24"/>
              </w:rPr>
              <w:t>高（平均提升2.29倍）</w:t>
            </w:r>
          </w:p>
        </w:tc>
        <w:tc>
          <w:tcPr>
            <w:tcW w:w="1710" w:type="dxa"/>
          </w:tcPr>
          <w:p w14:paraId="15C3E28D">
            <w:pPr>
              <w:pStyle w:val="43"/>
              <w:rPr>
                <w:rFonts w:ascii="仿宋" w:hAnsi="仿宋" w:eastAsia="仿宋"/>
                <w:color w:val="auto"/>
                <w:sz w:val="24"/>
              </w:rPr>
            </w:pPr>
            <w:r>
              <w:rPr>
                <w:rFonts w:ascii="仿宋" w:hAnsi="仿宋" w:eastAsia="仿宋"/>
                <w:bCs/>
                <w:color w:val="auto"/>
                <w:sz w:val="24"/>
              </w:rPr>
              <w:t>差距显著↑</w:t>
            </w:r>
          </w:p>
        </w:tc>
      </w:tr>
      <w:tr w14:paraId="757BB619">
        <w:tc>
          <w:tcPr>
            <w:tcW w:w="2160" w:type="dxa"/>
          </w:tcPr>
          <w:p w14:paraId="4EE09714">
            <w:pPr>
              <w:pStyle w:val="43"/>
              <w:rPr>
                <w:rFonts w:ascii="仿宋" w:hAnsi="仿宋" w:eastAsia="仿宋"/>
                <w:color w:val="auto"/>
                <w:sz w:val="24"/>
              </w:rPr>
            </w:pPr>
            <w:r>
              <w:rPr>
                <w:rFonts w:ascii="仿宋" w:hAnsi="仿宋" w:eastAsia="仿宋"/>
                <w:color w:val="auto"/>
                <w:sz w:val="24"/>
              </w:rPr>
              <w:t>实时分析能力</w:t>
            </w:r>
          </w:p>
        </w:tc>
        <w:tc>
          <w:tcPr>
            <w:tcW w:w="2400" w:type="dxa"/>
          </w:tcPr>
          <w:p w14:paraId="1910B35C">
            <w:pPr>
              <w:pStyle w:val="43"/>
              <w:rPr>
                <w:rFonts w:ascii="仿宋" w:hAnsi="仿宋" w:eastAsia="仿宋"/>
                <w:color w:val="auto"/>
                <w:sz w:val="24"/>
              </w:rPr>
            </w:pPr>
            <w:r>
              <w:rPr>
                <w:rFonts w:ascii="仿宋" w:hAnsi="仿宋" w:eastAsia="仿宋"/>
                <w:color w:val="auto"/>
                <w:sz w:val="24"/>
              </w:rPr>
              <w:t>弱（批处理为主）</w:t>
            </w:r>
          </w:p>
        </w:tc>
        <w:tc>
          <w:tcPr>
            <w:tcW w:w="3090" w:type="dxa"/>
          </w:tcPr>
          <w:p w14:paraId="30BD82C6">
            <w:pPr>
              <w:pStyle w:val="43"/>
              <w:rPr>
                <w:rFonts w:ascii="仿宋" w:hAnsi="仿宋" w:eastAsia="仿宋"/>
                <w:color w:val="auto"/>
                <w:sz w:val="24"/>
              </w:rPr>
            </w:pPr>
            <w:r>
              <w:rPr>
                <w:rFonts w:ascii="仿宋" w:hAnsi="仿宋" w:eastAsia="仿宋"/>
                <w:color w:val="auto"/>
                <w:sz w:val="24"/>
              </w:rPr>
              <w:t>强（实时+离线一体）</w:t>
            </w:r>
          </w:p>
        </w:tc>
        <w:tc>
          <w:tcPr>
            <w:tcW w:w="1710" w:type="dxa"/>
          </w:tcPr>
          <w:p w14:paraId="714EC22A">
            <w:pPr>
              <w:pStyle w:val="43"/>
              <w:rPr>
                <w:rFonts w:ascii="仿宋" w:hAnsi="仿宋" w:eastAsia="仿宋"/>
                <w:color w:val="auto"/>
                <w:sz w:val="24"/>
              </w:rPr>
            </w:pPr>
            <w:r>
              <w:rPr>
                <w:rFonts w:ascii="仿宋" w:hAnsi="仿宋" w:eastAsia="仿宋"/>
                <w:bCs/>
                <w:color w:val="auto"/>
                <w:sz w:val="24"/>
              </w:rPr>
              <w:t>差距严重↑</w:t>
            </w:r>
          </w:p>
        </w:tc>
      </w:tr>
      <w:tr w14:paraId="48D2D65E">
        <w:tc>
          <w:tcPr>
            <w:tcW w:w="2160" w:type="dxa"/>
          </w:tcPr>
          <w:p w14:paraId="2605CC34">
            <w:pPr>
              <w:pStyle w:val="43"/>
              <w:rPr>
                <w:rFonts w:ascii="仿宋" w:hAnsi="仿宋" w:eastAsia="仿宋"/>
                <w:color w:val="auto"/>
                <w:sz w:val="24"/>
              </w:rPr>
            </w:pPr>
            <w:r>
              <w:rPr>
                <w:rFonts w:ascii="仿宋" w:hAnsi="仿宋" w:eastAsia="仿宋"/>
                <w:color w:val="auto"/>
                <w:sz w:val="24"/>
              </w:rPr>
              <w:t>并发处理能力</w:t>
            </w:r>
          </w:p>
        </w:tc>
        <w:tc>
          <w:tcPr>
            <w:tcW w:w="2400" w:type="dxa"/>
          </w:tcPr>
          <w:p w14:paraId="4777A8C1">
            <w:pPr>
              <w:pStyle w:val="43"/>
              <w:rPr>
                <w:rFonts w:ascii="仿宋" w:hAnsi="仿宋" w:eastAsia="仿宋"/>
                <w:color w:val="auto"/>
                <w:sz w:val="24"/>
              </w:rPr>
            </w:pPr>
            <w:r>
              <w:rPr>
                <w:rFonts w:ascii="仿宋" w:hAnsi="仿宋" w:eastAsia="仿宋"/>
                <w:color w:val="auto"/>
                <w:sz w:val="24"/>
              </w:rPr>
              <w:t>有限</w:t>
            </w:r>
          </w:p>
        </w:tc>
        <w:tc>
          <w:tcPr>
            <w:tcW w:w="3090" w:type="dxa"/>
          </w:tcPr>
          <w:p w14:paraId="5491C0FD">
            <w:pPr>
              <w:pStyle w:val="43"/>
              <w:rPr>
                <w:rFonts w:ascii="仿宋" w:hAnsi="仿宋" w:eastAsia="仿宋"/>
                <w:color w:val="auto"/>
                <w:sz w:val="24"/>
              </w:rPr>
            </w:pPr>
            <w:r>
              <w:rPr>
                <w:rFonts w:ascii="仿宋" w:hAnsi="仿宋" w:eastAsia="仿宋"/>
                <w:color w:val="auto"/>
                <w:sz w:val="24"/>
              </w:rPr>
              <w:t>高并发支持</w:t>
            </w:r>
          </w:p>
        </w:tc>
        <w:tc>
          <w:tcPr>
            <w:tcW w:w="1710" w:type="dxa"/>
          </w:tcPr>
          <w:p w14:paraId="76A591AF">
            <w:pPr>
              <w:pStyle w:val="43"/>
              <w:rPr>
                <w:rFonts w:ascii="仿宋" w:hAnsi="仿宋" w:eastAsia="仿宋"/>
                <w:color w:val="auto"/>
                <w:sz w:val="24"/>
              </w:rPr>
            </w:pPr>
            <w:r>
              <w:rPr>
                <w:rFonts w:ascii="仿宋" w:hAnsi="仿宋" w:eastAsia="仿宋"/>
                <w:bCs/>
                <w:color w:val="auto"/>
                <w:sz w:val="24"/>
              </w:rPr>
              <w:t>差距显著↑</w:t>
            </w:r>
          </w:p>
        </w:tc>
      </w:tr>
      <w:tr w14:paraId="1CDF6299">
        <w:tc>
          <w:tcPr>
            <w:tcW w:w="2160" w:type="dxa"/>
          </w:tcPr>
          <w:p w14:paraId="5B76AE49">
            <w:pPr>
              <w:pStyle w:val="43"/>
              <w:rPr>
                <w:rFonts w:ascii="仿宋" w:hAnsi="仿宋" w:eastAsia="仿宋"/>
                <w:color w:val="auto"/>
                <w:sz w:val="24"/>
              </w:rPr>
            </w:pPr>
            <w:r>
              <w:rPr>
                <w:rFonts w:ascii="仿宋" w:hAnsi="仿宋" w:eastAsia="仿宋"/>
                <w:color w:val="auto"/>
                <w:sz w:val="24"/>
              </w:rPr>
              <w:t>资源利用率</w:t>
            </w:r>
          </w:p>
        </w:tc>
        <w:tc>
          <w:tcPr>
            <w:tcW w:w="2400" w:type="dxa"/>
          </w:tcPr>
          <w:p w14:paraId="73091410">
            <w:pPr>
              <w:pStyle w:val="43"/>
              <w:rPr>
                <w:rFonts w:ascii="仿宋" w:hAnsi="仿宋" w:eastAsia="仿宋"/>
                <w:color w:val="auto"/>
                <w:sz w:val="24"/>
              </w:rPr>
            </w:pPr>
            <w:r>
              <w:rPr>
                <w:rFonts w:ascii="仿宋" w:hAnsi="仿宋" w:eastAsia="仿宋"/>
                <w:color w:val="auto"/>
                <w:sz w:val="24"/>
              </w:rPr>
              <w:t>较低</w:t>
            </w:r>
          </w:p>
        </w:tc>
        <w:tc>
          <w:tcPr>
            <w:tcW w:w="3090" w:type="dxa"/>
          </w:tcPr>
          <w:p w14:paraId="3E539915">
            <w:pPr>
              <w:pStyle w:val="43"/>
              <w:rPr>
                <w:rFonts w:ascii="仿宋" w:hAnsi="仿宋" w:eastAsia="仿宋"/>
                <w:color w:val="auto"/>
                <w:sz w:val="24"/>
              </w:rPr>
            </w:pPr>
            <w:r>
              <w:rPr>
                <w:rFonts w:ascii="仿宋" w:hAnsi="仿宋" w:eastAsia="仿宋"/>
                <w:color w:val="auto"/>
                <w:sz w:val="24"/>
              </w:rPr>
              <w:t>高（节省约70% CPU）</w:t>
            </w:r>
          </w:p>
        </w:tc>
        <w:tc>
          <w:tcPr>
            <w:tcW w:w="1710" w:type="dxa"/>
          </w:tcPr>
          <w:p w14:paraId="28248A6E">
            <w:pPr>
              <w:pStyle w:val="43"/>
              <w:rPr>
                <w:rFonts w:ascii="仿宋" w:hAnsi="仿宋" w:eastAsia="仿宋"/>
                <w:color w:val="auto"/>
                <w:sz w:val="24"/>
              </w:rPr>
            </w:pPr>
            <w:r>
              <w:rPr>
                <w:rFonts w:ascii="仿宋" w:hAnsi="仿宋" w:eastAsia="仿宋"/>
                <w:bCs/>
                <w:color w:val="auto"/>
                <w:sz w:val="24"/>
              </w:rPr>
              <w:t>差距严重↑</w:t>
            </w:r>
          </w:p>
        </w:tc>
      </w:tr>
      <w:tr w14:paraId="25855324">
        <w:tc>
          <w:tcPr>
            <w:tcW w:w="2160" w:type="dxa"/>
          </w:tcPr>
          <w:p w14:paraId="40D649BE">
            <w:pPr>
              <w:pStyle w:val="43"/>
              <w:rPr>
                <w:rFonts w:ascii="仿宋" w:hAnsi="仿宋" w:eastAsia="仿宋"/>
                <w:color w:val="auto"/>
                <w:sz w:val="24"/>
              </w:rPr>
            </w:pPr>
            <w:r>
              <w:rPr>
                <w:rFonts w:ascii="仿宋" w:hAnsi="仿宋" w:eastAsia="仿宋"/>
                <w:color w:val="auto"/>
                <w:sz w:val="24"/>
              </w:rPr>
              <w:t>架构复杂度</w:t>
            </w:r>
          </w:p>
        </w:tc>
        <w:tc>
          <w:tcPr>
            <w:tcW w:w="2400" w:type="dxa"/>
          </w:tcPr>
          <w:p w14:paraId="77D7E6C5">
            <w:pPr>
              <w:pStyle w:val="43"/>
              <w:rPr>
                <w:rFonts w:ascii="仿宋" w:hAnsi="仿宋" w:eastAsia="仿宋"/>
                <w:color w:val="auto"/>
                <w:sz w:val="24"/>
              </w:rPr>
            </w:pPr>
            <w:r>
              <w:rPr>
                <w:rFonts w:ascii="仿宋" w:hAnsi="仿宋" w:eastAsia="仿宋"/>
                <w:color w:val="auto"/>
                <w:sz w:val="24"/>
              </w:rPr>
              <w:t>高（多组件依赖）</w:t>
            </w:r>
          </w:p>
        </w:tc>
        <w:tc>
          <w:tcPr>
            <w:tcW w:w="3090" w:type="dxa"/>
          </w:tcPr>
          <w:p w14:paraId="30BD1139">
            <w:pPr>
              <w:pStyle w:val="43"/>
              <w:rPr>
                <w:rFonts w:ascii="仿宋" w:hAnsi="仿宋" w:eastAsia="仿宋"/>
                <w:color w:val="auto"/>
                <w:sz w:val="24"/>
              </w:rPr>
            </w:pPr>
            <w:r>
              <w:rPr>
                <w:rFonts w:ascii="仿宋" w:hAnsi="仿宋" w:eastAsia="仿宋"/>
                <w:color w:val="auto"/>
                <w:sz w:val="24"/>
              </w:rPr>
              <w:t>低（架构简洁）</w:t>
            </w:r>
          </w:p>
        </w:tc>
        <w:tc>
          <w:tcPr>
            <w:tcW w:w="1710" w:type="dxa"/>
          </w:tcPr>
          <w:p w14:paraId="604A82B5">
            <w:pPr>
              <w:pStyle w:val="43"/>
              <w:rPr>
                <w:rFonts w:ascii="仿宋" w:hAnsi="仿宋" w:eastAsia="仿宋"/>
                <w:color w:val="auto"/>
                <w:sz w:val="24"/>
              </w:rPr>
            </w:pPr>
            <w:r>
              <w:rPr>
                <w:rFonts w:ascii="仿宋" w:hAnsi="仿宋" w:eastAsia="仿宋"/>
                <w:bCs/>
                <w:color w:val="auto"/>
                <w:sz w:val="24"/>
              </w:rPr>
              <w:t>差距明显↑</w:t>
            </w:r>
          </w:p>
        </w:tc>
      </w:tr>
      <w:tr w14:paraId="250F4035">
        <w:tc>
          <w:tcPr>
            <w:tcW w:w="2160" w:type="dxa"/>
          </w:tcPr>
          <w:p w14:paraId="06D34973">
            <w:pPr>
              <w:pStyle w:val="43"/>
              <w:rPr>
                <w:rFonts w:ascii="仿宋" w:hAnsi="仿宋" w:eastAsia="仿宋"/>
                <w:color w:val="auto"/>
                <w:sz w:val="24"/>
              </w:rPr>
            </w:pPr>
            <w:r>
              <w:rPr>
                <w:rFonts w:ascii="仿宋" w:hAnsi="仿宋" w:eastAsia="仿宋"/>
                <w:color w:val="auto"/>
                <w:sz w:val="24"/>
              </w:rPr>
              <w:t>运维复杂度</w:t>
            </w:r>
          </w:p>
        </w:tc>
        <w:tc>
          <w:tcPr>
            <w:tcW w:w="2400" w:type="dxa"/>
          </w:tcPr>
          <w:p w14:paraId="72B56B2F">
            <w:pPr>
              <w:pStyle w:val="43"/>
              <w:rPr>
                <w:rFonts w:ascii="仿宋" w:hAnsi="仿宋" w:eastAsia="仿宋"/>
                <w:color w:val="auto"/>
                <w:sz w:val="24"/>
              </w:rPr>
            </w:pPr>
            <w:r>
              <w:rPr>
                <w:rFonts w:ascii="仿宋" w:hAnsi="仿宋" w:eastAsia="仿宋"/>
                <w:color w:val="auto"/>
                <w:sz w:val="24"/>
              </w:rPr>
              <w:t>高</w:t>
            </w:r>
          </w:p>
        </w:tc>
        <w:tc>
          <w:tcPr>
            <w:tcW w:w="3090" w:type="dxa"/>
          </w:tcPr>
          <w:p w14:paraId="34DDE2EF">
            <w:pPr>
              <w:pStyle w:val="43"/>
              <w:rPr>
                <w:rFonts w:ascii="仿宋" w:hAnsi="仿宋" w:eastAsia="仿宋"/>
                <w:color w:val="auto"/>
                <w:sz w:val="24"/>
              </w:rPr>
            </w:pPr>
            <w:r>
              <w:rPr>
                <w:rFonts w:ascii="仿宋" w:hAnsi="仿宋" w:eastAsia="仿宋"/>
                <w:color w:val="auto"/>
                <w:sz w:val="24"/>
              </w:rPr>
              <w:t>低</w:t>
            </w:r>
          </w:p>
        </w:tc>
        <w:tc>
          <w:tcPr>
            <w:tcW w:w="1710" w:type="dxa"/>
          </w:tcPr>
          <w:p w14:paraId="3F57C437">
            <w:pPr>
              <w:pStyle w:val="43"/>
              <w:rPr>
                <w:rFonts w:ascii="仿宋" w:hAnsi="仿宋" w:eastAsia="仿宋"/>
                <w:color w:val="auto"/>
                <w:sz w:val="24"/>
              </w:rPr>
            </w:pPr>
            <w:r>
              <w:rPr>
                <w:rFonts w:ascii="仿宋" w:hAnsi="仿宋" w:eastAsia="仿宋"/>
                <w:bCs/>
                <w:color w:val="auto"/>
                <w:sz w:val="24"/>
              </w:rPr>
              <w:t>差距显著↑</w:t>
            </w:r>
          </w:p>
        </w:tc>
      </w:tr>
      <w:tr w14:paraId="6D04DBEB">
        <w:tc>
          <w:tcPr>
            <w:tcW w:w="2160" w:type="dxa"/>
          </w:tcPr>
          <w:p w14:paraId="551EFD01">
            <w:pPr>
              <w:pStyle w:val="43"/>
              <w:rPr>
                <w:rFonts w:ascii="仿宋" w:hAnsi="仿宋" w:eastAsia="仿宋"/>
                <w:color w:val="auto"/>
                <w:sz w:val="24"/>
              </w:rPr>
            </w:pPr>
            <w:r>
              <w:rPr>
                <w:rFonts w:ascii="仿宋" w:hAnsi="仿宋" w:eastAsia="仿宋"/>
                <w:color w:val="auto"/>
                <w:sz w:val="24"/>
              </w:rPr>
              <w:t>安全合规支持</w:t>
            </w:r>
          </w:p>
        </w:tc>
        <w:tc>
          <w:tcPr>
            <w:tcW w:w="2400" w:type="dxa"/>
          </w:tcPr>
          <w:p w14:paraId="20DD01B5">
            <w:pPr>
              <w:pStyle w:val="43"/>
              <w:rPr>
                <w:rFonts w:ascii="仿宋" w:hAnsi="仿宋" w:eastAsia="仿宋"/>
                <w:color w:val="auto"/>
                <w:sz w:val="24"/>
              </w:rPr>
            </w:pPr>
            <w:r>
              <w:rPr>
                <w:rFonts w:ascii="仿宋" w:hAnsi="仿宋" w:eastAsia="仿宋"/>
                <w:color w:val="auto"/>
                <w:sz w:val="24"/>
              </w:rPr>
              <w:t>弱（不支持密评）</w:t>
            </w:r>
          </w:p>
        </w:tc>
        <w:tc>
          <w:tcPr>
            <w:tcW w:w="3090" w:type="dxa"/>
          </w:tcPr>
          <w:p w14:paraId="59973746">
            <w:pPr>
              <w:pStyle w:val="43"/>
              <w:rPr>
                <w:rFonts w:ascii="仿宋" w:hAnsi="仿宋" w:eastAsia="仿宋"/>
                <w:color w:val="auto"/>
                <w:sz w:val="24"/>
              </w:rPr>
            </w:pPr>
            <w:r>
              <w:rPr>
                <w:rFonts w:ascii="仿宋" w:hAnsi="仿宋" w:eastAsia="仿宋"/>
                <w:color w:val="auto"/>
                <w:sz w:val="24"/>
              </w:rPr>
              <w:t>强（支持透明加密/KMS）</w:t>
            </w:r>
          </w:p>
        </w:tc>
        <w:tc>
          <w:tcPr>
            <w:tcW w:w="1710" w:type="dxa"/>
          </w:tcPr>
          <w:p w14:paraId="19304CF4">
            <w:pPr>
              <w:pStyle w:val="43"/>
              <w:rPr>
                <w:rFonts w:ascii="仿宋" w:hAnsi="仿宋" w:eastAsia="仿宋"/>
                <w:color w:val="auto"/>
                <w:sz w:val="24"/>
              </w:rPr>
            </w:pPr>
            <w:r>
              <w:rPr>
                <w:rFonts w:ascii="仿宋" w:hAnsi="仿宋" w:eastAsia="仿宋"/>
                <w:bCs/>
                <w:color w:val="auto"/>
                <w:sz w:val="24"/>
              </w:rPr>
              <w:t>差距严重↑</w:t>
            </w:r>
          </w:p>
        </w:tc>
      </w:tr>
      <w:tr w14:paraId="7059E050">
        <w:tc>
          <w:tcPr>
            <w:tcW w:w="2160" w:type="dxa"/>
          </w:tcPr>
          <w:p w14:paraId="6E75B7CF">
            <w:pPr>
              <w:pStyle w:val="43"/>
              <w:rPr>
                <w:rFonts w:ascii="仿宋" w:hAnsi="仿宋" w:eastAsia="仿宋"/>
                <w:color w:val="auto"/>
                <w:sz w:val="24"/>
              </w:rPr>
            </w:pPr>
            <w:r>
              <w:rPr>
                <w:rFonts w:ascii="仿宋" w:hAnsi="仿宋" w:eastAsia="仿宋"/>
                <w:color w:val="auto"/>
                <w:sz w:val="24"/>
              </w:rPr>
              <w:t>信创兼容性</w:t>
            </w:r>
          </w:p>
        </w:tc>
        <w:tc>
          <w:tcPr>
            <w:tcW w:w="2400" w:type="dxa"/>
          </w:tcPr>
          <w:p w14:paraId="351980B4">
            <w:pPr>
              <w:pStyle w:val="43"/>
              <w:rPr>
                <w:rFonts w:ascii="仿宋" w:hAnsi="仿宋" w:eastAsia="仿宋"/>
                <w:color w:val="auto"/>
                <w:sz w:val="24"/>
              </w:rPr>
            </w:pPr>
            <w:r>
              <w:rPr>
                <w:rFonts w:ascii="仿宋" w:hAnsi="仿宋" w:eastAsia="仿宋"/>
                <w:color w:val="auto"/>
                <w:sz w:val="24"/>
              </w:rPr>
              <w:t>弱</w:t>
            </w:r>
          </w:p>
        </w:tc>
        <w:tc>
          <w:tcPr>
            <w:tcW w:w="3090" w:type="dxa"/>
          </w:tcPr>
          <w:p w14:paraId="2E6B40A6">
            <w:pPr>
              <w:pStyle w:val="43"/>
              <w:rPr>
                <w:rFonts w:ascii="仿宋" w:hAnsi="仿宋" w:eastAsia="仿宋"/>
                <w:color w:val="auto"/>
                <w:sz w:val="24"/>
              </w:rPr>
            </w:pPr>
            <w:r>
              <w:rPr>
                <w:rFonts w:ascii="仿宋" w:hAnsi="仿宋" w:eastAsia="仿宋"/>
                <w:color w:val="auto"/>
                <w:sz w:val="24"/>
              </w:rPr>
              <w:t>强（国产认证）</w:t>
            </w:r>
          </w:p>
        </w:tc>
        <w:tc>
          <w:tcPr>
            <w:tcW w:w="1710" w:type="dxa"/>
          </w:tcPr>
          <w:p w14:paraId="639BF02D">
            <w:pPr>
              <w:pStyle w:val="43"/>
              <w:rPr>
                <w:rFonts w:ascii="仿宋" w:hAnsi="仿宋" w:eastAsia="仿宋"/>
                <w:color w:val="auto"/>
                <w:sz w:val="24"/>
              </w:rPr>
            </w:pPr>
            <w:r>
              <w:rPr>
                <w:rFonts w:ascii="仿宋" w:hAnsi="仿宋" w:eastAsia="仿宋"/>
                <w:bCs/>
                <w:color w:val="auto"/>
                <w:sz w:val="24"/>
              </w:rPr>
              <w:t>差距严重↑</w:t>
            </w:r>
          </w:p>
        </w:tc>
      </w:tr>
    </w:tbl>
    <w:p w14:paraId="42FF4177">
      <w:pPr>
        <w:spacing w:before="80" w:after="80"/>
        <w:rPr>
          <w:rFonts w:hint="eastAsia"/>
          <w:color w:val="auto"/>
        </w:rPr>
      </w:pPr>
    </w:p>
    <w:p w14:paraId="557F5B5B">
      <w:pPr>
        <w:pStyle w:val="4"/>
        <w:rPr>
          <w:rFonts w:hint="eastAsia"/>
          <w:color w:val="auto"/>
        </w:rPr>
      </w:pPr>
      <w:bookmarkStart w:id="36" w:name="_Toc230106854"/>
      <w:r>
        <w:rPr>
          <w:color w:val="auto"/>
        </w:rPr>
        <w:t>平台技术生命周期评估</w:t>
      </w:r>
      <w:bookmarkEnd w:id="36"/>
    </w:p>
    <w:p w14:paraId="11E085D5">
      <w:pPr>
        <w:pStyle w:val="42"/>
        <w:jc w:val="both"/>
        <w:rPr>
          <w:rFonts w:hint="eastAsia"/>
          <w:color w:val="auto"/>
        </w:rPr>
      </w:pPr>
      <w:r>
        <w:rPr>
          <w:color w:val="auto"/>
        </w:rPr>
        <w:t>综合以上分析，当前平台所依托的TDC 2.3和TDH 6.2版本已进入技术生命周期的末端阶段，相关版本的主动维护已基本停止，仅提供有限的安全补丁支持。随着时间推移，现有版本将面临越来越多的已知漏洞无法修复、新业务需求无法实现、与上下游系统兼容性持续下降等问题，平台技术风险将持续累积。</w:t>
      </w:r>
    </w:p>
    <w:p w14:paraId="6D7AF2B3">
      <w:pPr>
        <w:rPr>
          <w:rFonts w:hint="eastAsia" w:ascii="仿宋" w:hAnsi="仿宋" w:cs="仿宋"/>
          <w:color w:val="auto"/>
        </w:rPr>
      </w:pPr>
      <w:r>
        <w:rPr>
          <w:rFonts w:ascii="仿宋" w:hAnsi="仿宋" w:cs="仿宋"/>
          <w:bCs/>
          <w:color w:val="auto"/>
        </w:rPr>
        <w:t>【风险提示】</w:t>
      </w:r>
      <w:r>
        <w:rPr>
          <w:rFonts w:ascii="仿宋" w:hAnsi="仿宋" w:cs="仿宋"/>
          <w:color w:val="auto"/>
        </w:rPr>
        <w:t>风险：平台核心版本已进入生命周期末端，技术支持能力逐步减弱。在国家信创改造政策的刚性约束下，继续依托现有技术体系运行将面临合规审查风险，并可能在关键时刻（如上级检查、安全事件）陷入无法有效应对的被动局面。</w:t>
      </w:r>
    </w:p>
    <w:p w14:paraId="421CD7CD">
      <w:pPr>
        <w:widowControl/>
        <w:spacing w:line="240" w:lineRule="auto"/>
        <w:rPr>
          <w:rFonts w:hint="eastAsia" w:ascii="仿宋" w:hAnsi="仿宋" w:cs="仿宋"/>
          <w:color w:val="auto"/>
        </w:rPr>
      </w:pPr>
      <w:r>
        <w:rPr>
          <w:rFonts w:hint="eastAsia" w:ascii="仿宋" w:hAnsi="仿宋" w:cs="仿宋"/>
          <w:color w:val="auto"/>
        </w:rPr>
        <w:br w:type="page"/>
      </w:r>
    </w:p>
    <w:p w14:paraId="20BDB151">
      <w:pPr>
        <w:pStyle w:val="2"/>
        <w:rPr>
          <w:rFonts w:hint="eastAsia"/>
          <w:color w:val="auto"/>
        </w:rPr>
      </w:pPr>
      <w:bookmarkStart w:id="37" w:name="_Toc230106855"/>
      <w:r>
        <w:rPr>
          <w:rFonts w:hint="eastAsia"/>
          <w:color w:val="auto"/>
        </w:rPr>
        <w:t>总体建设方案</w:t>
      </w:r>
      <w:bookmarkEnd w:id="37"/>
    </w:p>
    <w:p w14:paraId="284846AC">
      <w:pPr>
        <w:pStyle w:val="3"/>
        <w:rPr>
          <w:rFonts w:hint="eastAsia"/>
          <w:color w:val="auto"/>
        </w:rPr>
      </w:pPr>
      <w:bookmarkStart w:id="38" w:name="_Toc230106856"/>
      <w:r>
        <w:rPr>
          <w:rFonts w:hint="eastAsia"/>
          <w:color w:val="auto"/>
        </w:rPr>
        <w:t>建设目标与内容</w:t>
      </w:r>
      <w:bookmarkEnd w:id="38"/>
    </w:p>
    <w:p w14:paraId="77CBEA94">
      <w:pPr>
        <w:pStyle w:val="4"/>
        <w:rPr>
          <w:rFonts w:hint="eastAsia"/>
          <w:color w:val="auto"/>
        </w:rPr>
      </w:pPr>
      <w:bookmarkStart w:id="39" w:name="_Toc230106857"/>
      <w:r>
        <w:rPr>
          <w:rFonts w:hint="eastAsia"/>
          <w:color w:val="auto"/>
        </w:rPr>
        <w:t>建设目标</w:t>
      </w:r>
      <w:bookmarkEnd w:id="39"/>
    </w:p>
    <w:p w14:paraId="64F33583">
      <w:pPr>
        <w:ind w:firstLine="420"/>
        <w:rPr>
          <w:rFonts w:hint="eastAsia"/>
          <w:color w:val="auto"/>
        </w:rPr>
      </w:pPr>
      <w:r>
        <w:rPr>
          <w:rFonts w:ascii="仿宋" w:hAnsi="仿宋" w:cs="仿宋"/>
          <w:color w:val="auto"/>
          <w:szCs w:val="22"/>
        </w:rPr>
        <w:t>通过对浦东新区</w:t>
      </w:r>
      <w:r>
        <w:rPr>
          <w:rFonts w:hint="eastAsia" w:ascii="仿宋" w:hAnsi="仿宋" w:cs="仿宋"/>
          <w:color w:val="auto"/>
          <w:lang w:val="en-US" w:eastAsia="zh-CN"/>
        </w:rPr>
        <w:t>数据支撑子系统</w:t>
      </w:r>
      <w:r>
        <w:rPr>
          <w:rFonts w:ascii="仿宋" w:hAnsi="仿宋" w:cs="仿宋"/>
          <w:color w:val="auto"/>
          <w:szCs w:val="22"/>
        </w:rPr>
        <w:t>的系统性升级改造，实现平台从TDC 2.3/TDH 6.2/Inceptor架构向TDC 5.1/TDH 9.3/ArgoDB 6.2的整体迁移，完成信创改造和国产化替代，全面提升平台的性能、安全、稳定性和扩展能力，为浦东新区政务数字化转型提供坚实的数据底座支撑。</w:t>
      </w:r>
    </w:p>
    <w:p w14:paraId="6158C545">
      <w:pPr>
        <w:pStyle w:val="4"/>
        <w:rPr>
          <w:rFonts w:hint="eastAsia"/>
          <w:color w:val="auto"/>
        </w:rPr>
      </w:pPr>
      <w:bookmarkStart w:id="40" w:name="_Toc230106858"/>
      <w:r>
        <w:rPr>
          <w:rFonts w:hint="eastAsia"/>
          <w:color w:val="auto"/>
        </w:rPr>
        <w:t>建设原则</w:t>
      </w:r>
      <w:bookmarkEnd w:id="40"/>
    </w:p>
    <w:p w14:paraId="2594CA60">
      <w:pPr>
        <w:pStyle w:val="35"/>
        <w:numPr>
          <w:ilvl w:val="0"/>
          <w:numId w:val="4"/>
        </w:numPr>
        <w:rPr>
          <w:rFonts w:hint="eastAsia" w:ascii="仿宋" w:hAnsi="仿宋" w:cs="仿宋"/>
          <w:color w:val="auto"/>
          <w:kern w:val="0"/>
          <w:szCs w:val="22"/>
          <w14:ligatures w14:val="none"/>
        </w:rPr>
      </w:pPr>
      <w:r>
        <w:rPr>
          <w:rFonts w:ascii="仿宋" w:hAnsi="仿宋" w:cs="仿宋"/>
          <w:color w:val="auto"/>
          <w:kern w:val="0"/>
          <w:szCs w:val="22"/>
          <w14:ligatures w14:val="none"/>
        </w:rPr>
        <w:t>业务优先，安全迁移</w:t>
      </w:r>
    </w:p>
    <w:p w14:paraId="58248457">
      <w:pPr>
        <w:pStyle w:val="42"/>
        <w:jc w:val="both"/>
        <w:rPr>
          <w:rFonts w:hint="eastAsia"/>
          <w:color w:val="auto"/>
        </w:rPr>
      </w:pPr>
      <w:r>
        <w:rPr>
          <w:color w:val="auto"/>
          <w:szCs w:val="22"/>
        </w:rPr>
        <w:t>以保障业务连续性为第一优先级，所有技术决策均服从于业务不中断的核心原则。在迁移方案设计上，优先采用双轨并行、灰度切换、流量控制等低风险策略，严格管控每个迁移操作的影响范围，确保在发生意外情况时能够快速回退、恢复业务。</w:t>
      </w:r>
    </w:p>
    <w:p w14:paraId="0BF5D1AE">
      <w:pPr>
        <w:pStyle w:val="35"/>
        <w:numPr>
          <w:ilvl w:val="0"/>
          <w:numId w:val="4"/>
        </w:numPr>
        <w:rPr>
          <w:rFonts w:hint="eastAsia" w:ascii="仿宋" w:hAnsi="仿宋" w:cs="仿宋"/>
          <w:color w:val="auto"/>
          <w:kern w:val="0"/>
          <w:szCs w:val="22"/>
          <w14:ligatures w14:val="none"/>
        </w:rPr>
      </w:pPr>
      <w:r>
        <w:rPr>
          <w:rFonts w:ascii="仿宋" w:hAnsi="仿宋" w:cs="仿宋"/>
          <w:color w:val="auto"/>
          <w:kern w:val="0"/>
          <w:szCs w:val="22"/>
          <w14:ligatures w14:val="none"/>
        </w:rPr>
        <w:t>分批迁移，逐步验证</w:t>
      </w:r>
    </w:p>
    <w:p w14:paraId="7079AC0B">
      <w:pPr>
        <w:pStyle w:val="42"/>
        <w:jc w:val="both"/>
        <w:rPr>
          <w:rFonts w:hint="eastAsia"/>
          <w:color w:val="auto"/>
        </w:rPr>
      </w:pPr>
      <w:r>
        <w:rPr>
          <w:color w:val="auto"/>
          <w:szCs w:val="22"/>
        </w:rPr>
        <w:t>按业务重要性、技术复杂度对迁移对象进行分级分类，制定先易后难、先边缘后核心、先批处理后在线的迁移顺序。每批次迁移完成后，须通过功能验证、性能测试、数据比对等多维度验证，经确认无误后方可推进下一批次迁移，避免问题累积扩大。</w:t>
      </w:r>
    </w:p>
    <w:p w14:paraId="06CA05CE">
      <w:pPr>
        <w:pStyle w:val="35"/>
        <w:numPr>
          <w:ilvl w:val="0"/>
          <w:numId w:val="4"/>
        </w:numPr>
        <w:rPr>
          <w:rFonts w:hint="eastAsia" w:ascii="仿宋" w:hAnsi="仿宋" w:cs="仿宋"/>
          <w:color w:val="auto"/>
          <w:kern w:val="0"/>
          <w:szCs w:val="22"/>
          <w14:ligatures w14:val="none"/>
        </w:rPr>
      </w:pPr>
      <w:r>
        <w:rPr>
          <w:rFonts w:ascii="仿宋" w:hAnsi="仿宋" w:cs="仿宋"/>
          <w:color w:val="auto"/>
          <w:kern w:val="0"/>
          <w:szCs w:val="22"/>
          <w14:ligatures w14:val="none"/>
        </w:rPr>
        <w:t>数据一致，质量保障</w:t>
      </w:r>
    </w:p>
    <w:p w14:paraId="0F4D6138">
      <w:pPr>
        <w:pStyle w:val="42"/>
        <w:jc w:val="both"/>
        <w:rPr>
          <w:rFonts w:hint="eastAsia"/>
          <w:color w:val="auto"/>
        </w:rPr>
      </w:pPr>
      <w:r>
        <w:rPr>
          <w:color w:val="auto"/>
          <w:szCs w:val="22"/>
        </w:rPr>
        <w:t>建立完善的数据比对机制，对迁移前后的数据行数、关键字段值域、聚合统计结果进行全面校验。对于实时接入数据，采用消息队列双写+断点续传机制，确保数据不丢失、不重复。建立数据质量监控大屏，全程跟踪迁移过程中的数据质量指标。</w:t>
      </w:r>
    </w:p>
    <w:p w14:paraId="2697495B">
      <w:pPr>
        <w:pStyle w:val="35"/>
        <w:numPr>
          <w:ilvl w:val="0"/>
          <w:numId w:val="4"/>
        </w:numPr>
        <w:rPr>
          <w:rFonts w:hint="eastAsia" w:ascii="仿宋" w:hAnsi="仿宋" w:cs="仿宋"/>
          <w:color w:val="auto"/>
          <w:kern w:val="0"/>
          <w:szCs w:val="22"/>
          <w14:ligatures w14:val="none"/>
        </w:rPr>
      </w:pPr>
      <w:r>
        <w:rPr>
          <w:rFonts w:ascii="仿宋" w:hAnsi="仿宋" w:cs="仿宋"/>
          <w:color w:val="auto"/>
          <w:kern w:val="0"/>
          <w:szCs w:val="22"/>
          <w14:ligatures w14:val="none"/>
        </w:rPr>
        <w:t>信创适配，充分验证</w:t>
      </w:r>
    </w:p>
    <w:p w14:paraId="14E601C0">
      <w:pPr>
        <w:pStyle w:val="42"/>
        <w:jc w:val="both"/>
        <w:rPr>
          <w:rFonts w:hint="eastAsia"/>
          <w:color w:val="auto"/>
        </w:rPr>
      </w:pPr>
      <w:r>
        <w:rPr>
          <w:color w:val="auto"/>
          <w:szCs w:val="22"/>
        </w:rPr>
        <w:t>在ARM节点引入初期，须经过严格的硬件兼容性测试、操作系统适配测试、数据库性能基准测试等多轮验证，确认ARM环境下各组件性能达标后，再纳入生产调度体系。建立ARM节点与X86节点的性能对比基准，持续监控混合架构下的作业执行效率。</w:t>
      </w:r>
    </w:p>
    <w:p w14:paraId="56DDE67C">
      <w:pPr>
        <w:pStyle w:val="35"/>
        <w:numPr>
          <w:ilvl w:val="0"/>
          <w:numId w:val="4"/>
        </w:numPr>
        <w:rPr>
          <w:rFonts w:hint="eastAsia" w:ascii="仿宋" w:hAnsi="仿宋" w:cs="仿宋"/>
          <w:color w:val="auto"/>
          <w:kern w:val="0"/>
          <w:szCs w:val="22"/>
          <w14:ligatures w14:val="none"/>
        </w:rPr>
      </w:pPr>
      <w:r>
        <w:rPr>
          <w:rFonts w:ascii="仿宋" w:hAnsi="仿宋" w:cs="仿宋"/>
          <w:color w:val="auto"/>
          <w:kern w:val="0"/>
          <w:szCs w:val="22"/>
          <w14:ligatures w14:val="none"/>
        </w:rPr>
        <w:t>安全合规，同步推进</w:t>
      </w:r>
    </w:p>
    <w:p w14:paraId="19E004AE">
      <w:pPr>
        <w:pStyle w:val="42"/>
        <w:jc w:val="both"/>
        <w:rPr>
          <w:rFonts w:hint="eastAsia"/>
          <w:color w:val="auto"/>
        </w:rPr>
      </w:pPr>
      <w:r>
        <w:rPr>
          <w:color w:val="auto"/>
          <w:szCs w:val="22"/>
        </w:rPr>
        <w:t>安全能力建设与平台升级改造同步规划、同步实施、同步验收。透明加密、KMS对接、等保加固等安全措施须在业务切换至新平台前全部就绪，不得以先迁移后加固的方式规避安全要求。</w:t>
      </w:r>
    </w:p>
    <w:p w14:paraId="422054B0">
      <w:pPr>
        <w:pStyle w:val="35"/>
        <w:numPr>
          <w:ilvl w:val="0"/>
          <w:numId w:val="4"/>
        </w:numPr>
        <w:rPr>
          <w:rFonts w:hint="eastAsia" w:ascii="仿宋" w:hAnsi="仿宋" w:cs="仿宋"/>
          <w:color w:val="auto"/>
          <w:kern w:val="0"/>
          <w:szCs w:val="22"/>
          <w14:ligatures w14:val="none"/>
        </w:rPr>
      </w:pPr>
      <w:r>
        <w:rPr>
          <w:rFonts w:ascii="仿宋" w:hAnsi="仿宋" w:cs="仿宋"/>
          <w:color w:val="auto"/>
          <w:kern w:val="0"/>
          <w:szCs w:val="22"/>
          <w14:ligatures w14:val="none"/>
        </w:rPr>
        <w:t>标准规范，统一管理</w:t>
      </w:r>
    </w:p>
    <w:p w14:paraId="6D5DB6BB">
      <w:pPr>
        <w:ind w:firstLine="420"/>
        <w:rPr>
          <w:rFonts w:hint="eastAsia"/>
          <w:color w:val="auto"/>
        </w:rPr>
      </w:pPr>
      <w:r>
        <w:rPr>
          <w:rFonts w:ascii="仿宋" w:hAnsi="仿宋" w:cs="仿宋"/>
          <w:color w:val="auto"/>
          <w:szCs w:val="22"/>
        </w:rPr>
        <w:t>严格执行国家和上海市政务数据相关标准规范，建立统一的元数据管理、数据标准管理、数据质量管理体系。新平台的多租户规划、权限设计、资源配额管理须与已有业务规范保持一致，并为未来扩展预留充足空间。</w:t>
      </w:r>
    </w:p>
    <w:p w14:paraId="3F38191F">
      <w:pPr>
        <w:pStyle w:val="4"/>
        <w:rPr>
          <w:rFonts w:hint="eastAsia"/>
          <w:color w:val="auto"/>
        </w:rPr>
      </w:pPr>
      <w:bookmarkStart w:id="41" w:name="_Toc230106859"/>
      <w:r>
        <w:rPr>
          <w:rFonts w:hint="eastAsia"/>
          <w:color w:val="auto"/>
        </w:rPr>
        <w:t>建设内容</w:t>
      </w:r>
      <w:bookmarkEnd w:id="41"/>
    </w:p>
    <w:p w14:paraId="66289765">
      <w:pPr>
        <w:pStyle w:val="35"/>
        <w:numPr>
          <w:ilvl w:val="0"/>
          <w:numId w:val="4"/>
        </w:numPr>
        <w:rPr>
          <w:rFonts w:hint="eastAsia" w:ascii="仿宋" w:hAnsi="仿宋" w:cs="仿宋"/>
          <w:color w:val="auto"/>
          <w:kern w:val="0"/>
          <w:szCs w:val="22"/>
          <w14:ligatures w14:val="none"/>
        </w:rPr>
      </w:pPr>
      <w:r>
        <w:rPr>
          <w:rFonts w:ascii="仿宋" w:hAnsi="仿宋" w:cs="仿宋"/>
          <w:color w:val="auto"/>
          <w:kern w:val="0"/>
          <w:szCs w:val="22"/>
          <w14:ligatures w14:val="none"/>
        </w:rPr>
        <w:t>平台升级</w:t>
      </w:r>
    </w:p>
    <w:p w14:paraId="3E44F56D">
      <w:pPr>
        <w:widowControl/>
        <w:ind w:left="420"/>
        <w:rPr>
          <w:rFonts w:hint="eastAsia"/>
          <w:color w:val="auto"/>
        </w:rPr>
      </w:pPr>
      <w:r>
        <w:rPr>
          <w:rFonts w:ascii="仿宋" w:hAnsi="仿宋" w:cs="仿宋"/>
          <w:color w:val="auto"/>
          <w:szCs w:val="22"/>
        </w:rPr>
        <w:t>完成TDC 2.3升级至TDC 5.1，实现平台管理能力的全面提升</w:t>
      </w:r>
      <w:r>
        <w:rPr>
          <w:rFonts w:hint="eastAsia" w:ascii="仿宋" w:hAnsi="仿宋" w:cs="仿宋"/>
          <w:color w:val="auto"/>
          <w:szCs w:val="22"/>
        </w:rPr>
        <w:t>。</w:t>
      </w:r>
    </w:p>
    <w:p w14:paraId="76883A79">
      <w:pPr>
        <w:widowControl/>
        <w:ind w:left="420"/>
        <w:rPr>
          <w:rFonts w:hint="eastAsia"/>
          <w:color w:val="auto"/>
        </w:rPr>
      </w:pPr>
      <w:r>
        <w:rPr>
          <w:rFonts w:ascii="仿宋" w:hAnsi="仿宋" w:cs="仿宋"/>
          <w:color w:val="auto"/>
          <w:szCs w:val="22"/>
        </w:rPr>
        <w:t>完成TDH 6.2升级至TDH 9.3，提升分布式计算框架整体性能</w:t>
      </w:r>
      <w:r>
        <w:rPr>
          <w:rFonts w:hint="eastAsia" w:ascii="仿宋" w:hAnsi="仿宋" w:cs="仿宋"/>
          <w:color w:val="auto"/>
          <w:szCs w:val="22"/>
        </w:rPr>
        <w:t>。</w:t>
      </w:r>
    </w:p>
    <w:p w14:paraId="63383907">
      <w:pPr>
        <w:widowControl/>
        <w:ind w:left="420"/>
        <w:rPr>
          <w:rFonts w:hint="eastAsia"/>
          <w:color w:val="auto"/>
        </w:rPr>
      </w:pPr>
      <w:r>
        <w:rPr>
          <w:rFonts w:ascii="仿宋" w:hAnsi="仿宋" w:cs="仿宋"/>
          <w:color w:val="auto"/>
          <w:szCs w:val="22"/>
        </w:rPr>
        <w:t>引入ArgoDB 6.2 HTAP引擎，替代Inceptor承接交互式分析查询</w:t>
      </w:r>
      <w:r>
        <w:rPr>
          <w:rFonts w:hint="eastAsia" w:ascii="仿宋" w:hAnsi="仿宋" w:cs="仿宋"/>
          <w:color w:val="auto"/>
          <w:szCs w:val="22"/>
        </w:rPr>
        <w:t>。</w:t>
      </w:r>
    </w:p>
    <w:p w14:paraId="7EF0B228">
      <w:pPr>
        <w:widowControl/>
        <w:ind w:left="420"/>
        <w:rPr>
          <w:rFonts w:hint="eastAsia"/>
          <w:color w:val="auto"/>
        </w:rPr>
      </w:pPr>
      <w:r>
        <w:rPr>
          <w:rFonts w:ascii="仿宋" w:hAnsi="仿宋" w:cs="仿宋"/>
          <w:color w:val="auto"/>
          <w:szCs w:val="22"/>
        </w:rPr>
        <w:t>实现YARN资源调度升级，支持多租户细粒度资源管控</w:t>
      </w:r>
      <w:r>
        <w:rPr>
          <w:rFonts w:hint="eastAsia" w:ascii="仿宋" w:hAnsi="仿宋" w:cs="仿宋"/>
          <w:color w:val="auto"/>
          <w:szCs w:val="22"/>
        </w:rPr>
        <w:t>。</w:t>
      </w:r>
    </w:p>
    <w:p w14:paraId="72EFA8F5">
      <w:pPr>
        <w:widowControl/>
        <w:ind w:left="420"/>
        <w:rPr>
          <w:rFonts w:hint="eastAsia"/>
          <w:color w:val="auto"/>
        </w:rPr>
      </w:pPr>
      <w:r>
        <w:rPr>
          <w:rFonts w:ascii="仿宋" w:hAnsi="仿宋" w:cs="仿宋"/>
          <w:color w:val="auto"/>
          <w:szCs w:val="22"/>
        </w:rPr>
        <w:t>升级Hive Metastore至最新版本，统一元数据管理</w:t>
      </w:r>
      <w:r>
        <w:rPr>
          <w:rFonts w:hint="eastAsia" w:ascii="仿宋" w:hAnsi="仿宋" w:cs="仿宋"/>
          <w:color w:val="auto"/>
          <w:szCs w:val="22"/>
        </w:rPr>
        <w:t>。</w:t>
      </w:r>
    </w:p>
    <w:p w14:paraId="6F31A5BA">
      <w:pPr>
        <w:pStyle w:val="35"/>
        <w:numPr>
          <w:ilvl w:val="0"/>
          <w:numId w:val="4"/>
        </w:numPr>
        <w:rPr>
          <w:rFonts w:hint="eastAsia" w:ascii="仿宋" w:hAnsi="仿宋" w:cs="仿宋"/>
          <w:color w:val="auto"/>
          <w:kern w:val="0"/>
          <w:szCs w:val="22"/>
          <w14:ligatures w14:val="none"/>
        </w:rPr>
      </w:pPr>
      <w:r>
        <w:rPr>
          <w:rFonts w:ascii="仿宋" w:hAnsi="仿宋" w:cs="仿宋"/>
          <w:color w:val="auto"/>
          <w:kern w:val="0"/>
          <w:szCs w:val="22"/>
          <w14:ligatures w14:val="none"/>
        </w:rPr>
        <w:t>信创改造</w:t>
      </w:r>
    </w:p>
    <w:p w14:paraId="5EAFD1F8">
      <w:pPr>
        <w:widowControl/>
        <w:ind w:left="420"/>
        <w:rPr>
          <w:rFonts w:hint="eastAsia"/>
          <w:color w:val="auto"/>
        </w:rPr>
      </w:pPr>
      <w:r>
        <w:rPr>
          <w:rFonts w:ascii="仿宋" w:hAnsi="仿宋" w:cs="仿宋"/>
          <w:color w:val="auto"/>
          <w:szCs w:val="22"/>
        </w:rPr>
        <w:t>完成X86物理机到ARM国产服务器的平滑迁移</w:t>
      </w:r>
      <w:r>
        <w:rPr>
          <w:rFonts w:hint="eastAsia" w:ascii="仿宋" w:hAnsi="仿宋" w:cs="仿宋"/>
          <w:color w:val="auto"/>
          <w:szCs w:val="22"/>
        </w:rPr>
        <w:t>。</w:t>
      </w:r>
    </w:p>
    <w:p w14:paraId="1A170B9C">
      <w:pPr>
        <w:widowControl/>
        <w:ind w:left="420"/>
        <w:rPr>
          <w:rFonts w:hint="eastAsia"/>
          <w:color w:val="auto"/>
        </w:rPr>
      </w:pPr>
      <w:r>
        <w:rPr>
          <w:rFonts w:ascii="仿宋" w:hAnsi="仿宋" w:cs="仿宋"/>
          <w:color w:val="auto"/>
          <w:szCs w:val="22"/>
        </w:rPr>
        <w:t>操作系统完成向国产OS（麒麟V10/统信UOS）的迁移</w:t>
      </w:r>
      <w:r>
        <w:rPr>
          <w:rFonts w:hint="eastAsia" w:ascii="仿宋" w:hAnsi="仿宋" w:cs="仿宋"/>
          <w:color w:val="auto"/>
          <w:szCs w:val="22"/>
        </w:rPr>
        <w:t>。</w:t>
      </w:r>
    </w:p>
    <w:p w14:paraId="01252476">
      <w:pPr>
        <w:widowControl/>
        <w:ind w:left="420"/>
        <w:rPr>
          <w:rFonts w:hint="eastAsia"/>
          <w:color w:val="auto"/>
        </w:rPr>
      </w:pPr>
      <w:r>
        <w:rPr>
          <w:rFonts w:ascii="仿宋" w:hAnsi="仿宋" w:cs="仿宋"/>
          <w:color w:val="auto"/>
          <w:szCs w:val="22"/>
        </w:rPr>
        <w:t>实现大数据平台核心组件在ARM架构下的稳定运行</w:t>
      </w:r>
      <w:r>
        <w:rPr>
          <w:rFonts w:hint="eastAsia" w:ascii="仿宋" w:hAnsi="仿宋" w:cs="仿宋"/>
          <w:color w:val="auto"/>
          <w:szCs w:val="22"/>
        </w:rPr>
        <w:t>。</w:t>
      </w:r>
    </w:p>
    <w:p w14:paraId="08F46C9B">
      <w:pPr>
        <w:widowControl/>
        <w:ind w:left="420"/>
        <w:rPr>
          <w:rFonts w:hint="eastAsia"/>
          <w:color w:val="auto"/>
        </w:rPr>
      </w:pPr>
      <w:r>
        <w:rPr>
          <w:rFonts w:ascii="仿宋" w:hAnsi="仿宋" w:cs="仿宋"/>
          <w:color w:val="auto"/>
          <w:szCs w:val="22"/>
        </w:rPr>
        <w:t>完成国产数据库、中间件的适配与替换</w:t>
      </w:r>
      <w:r>
        <w:rPr>
          <w:rFonts w:hint="eastAsia" w:ascii="仿宋" w:hAnsi="仿宋" w:cs="仿宋"/>
          <w:color w:val="auto"/>
          <w:szCs w:val="22"/>
        </w:rPr>
        <w:t>。</w:t>
      </w:r>
    </w:p>
    <w:p w14:paraId="23F73075">
      <w:pPr>
        <w:pStyle w:val="35"/>
        <w:numPr>
          <w:ilvl w:val="0"/>
          <w:numId w:val="4"/>
        </w:numPr>
        <w:rPr>
          <w:rFonts w:hint="eastAsia" w:ascii="仿宋" w:hAnsi="仿宋" w:cs="仿宋"/>
          <w:color w:val="auto"/>
          <w:kern w:val="0"/>
          <w:szCs w:val="22"/>
          <w14:ligatures w14:val="none"/>
        </w:rPr>
      </w:pPr>
      <w:r>
        <w:rPr>
          <w:rFonts w:ascii="仿宋" w:hAnsi="仿宋" w:cs="仿宋"/>
          <w:color w:val="auto"/>
          <w:kern w:val="0"/>
          <w:szCs w:val="22"/>
          <w14:ligatures w14:val="none"/>
        </w:rPr>
        <w:t>安全合规</w:t>
      </w:r>
    </w:p>
    <w:p w14:paraId="5D0AB5AE">
      <w:pPr>
        <w:widowControl/>
        <w:ind w:left="420"/>
        <w:rPr>
          <w:rFonts w:hint="eastAsia"/>
          <w:color w:val="auto"/>
        </w:rPr>
      </w:pPr>
      <w:r>
        <w:rPr>
          <w:rFonts w:ascii="仿宋" w:hAnsi="仿宋" w:cs="仿宋"/>
          <w:color w:val="auto"/>
          <w:szCs w:val="22"/>
        </w:rPr>
        <w:t>完成数据透明加密体系建设，支持SM4国产密码算法</w:t>
      </w:r>
      <w:r>
        <w:rPr>
          <w:rFonts w:hint="eastAsia" w:ascii="仿宋" w:hAnsi="仿宋" w:cs="仿宋"/>
          <w:color w:val="auto"/>
          <w:szCs w:val="22"/>
        </w:rPr>
        <w:t>。</w:t>
      </w:r>
    </w:p>
    <w:p w14:paraId="7EE8CD1B">
      <w:pPr>
        <w:widowControl/>
        <w:ind w:left="420"/>
        <w:rPr>
          <w:rFonts w:hint="eastAsia"/>
          <w:color w:val="auto"/>
        </w:rPr>
      </w:pPr>
      <w:r>
        <w:rPr>
          <w:rFonts w:ascii="仿宋" w:hAnsi="仿宋" w:cs="仿宋"/>
          <w:color w:val="auto"/>
          <w:szCs w:val="22"/>
        </w:rPr>
        <w:t>完成KMS密钥管理系统对接</w:t>
      </w:r>
      <w:r>
        <w:rPr>
          <w:rFonts w:hint="eastAsia" w:ascii="仿宋" w:hAnsi="仿宋" w:cs="仿宋"/>
          <w:color w:val="auto"/>
          <w:szCs w:val="22"/>
        </w:rPr>
        <w:t>。</w:t>
      </w:r>
    </w:p>
    <w:p w14:paraId="441174C0">
      <w:pPr>
        <w:widowControl/>
        <w:ind w:left="420"/>
        <w:rPr>
          <w:rFonts w:hint="eastAsia"/>
          <w:color w:val="auto"/>
        </w:rPr>
      </w:pPr>
      <w:r>
        <w:rPr>
          <w:rFonts w:ascii="仿宋" w:hAnsi="仿宋" w:cs="仿宋"/>
          <w:color w:val="auto"/>
          <w:szCs w:val="22"/>
        </w:rPr>
        <w:t>满足等保三级要求，通过等保测评</w:t>
      </w:r>
      <w:r>
        <w:rPr>
          <w:rFonts w:hint="eastAsia" w:ascii="仿宋" w:hAnsi="仿宋" w:cs="仿宋"/>
          <w:color w:val="auto"/>
          <w:szCs w:val="22"/>
        </w:rPr>
        <w:t>。</w:t>
      </w:r>
    </w:p>
    <w:p w14:paraId="6CB8D1F9">
      <w:pPr>
        <w:widowControl/>
        <w:ind w:left="420"/>
        <w:rPr>
          <w:rFonts w:hint="eastAsia"/>
          <w:color w:val="auto"/>
        </w:rPr>
      </w:pPr>
      <w:r>
        <w:rPr>
          <w:rFonts w:ascii="仿宋" w:hAnsi="仿宋" w:cs="仿宋"/>
          <w:color w:val="auto"/>
          <w:szCs w:val="22"/>
        </w:rPr>
        <w:t>完成密码应用安全评估（密评），通过密评验收</w:t>
      </w:r>
      <w:r>
        <w:rPr>
          <w:rFonts w:hint="eastAsia" w:ascii="仿宋" w:hAnsi="仿宋" w:cs="仿宋"/>
          <w:color w:val="auto"/>
          <w:szCs w:val="22"/>
        </w:rPr>
        <w:t>。</w:t>
      </w:r>
    </w:p>
    <w:p w14:paraId="095C30B3">
      <w:pPr>
        <w:widowControl/>
        <w:ind w:left="420"/>
        <w:rPr>
          <w:rFonts w:hint="eastAsia"/>
          <w:color w:val="auto"/>
        </w:rPr>
      </w:pPr>
      <w:r>
        <w:rPr>
          <w:rFonts w:ascii="仿宋" w:hAnsi="仿宋" w:cs="仿宋"/>
          <w:color w:val="auto"/>
          <w:szCs w:val="22"/>
        </w:rPr>
        <w:t>建立全链路审计日志体系，实现操作可追溯</w:t>
      </w:r>
      <w:r>
        <w:rPr>
          <w:rFonts w:hint="eastAsia" w:ascii="仿宋" w:hAnsi="仿宋" w:cs="仿宋"/>
          <w:color w:val="auto"/>
          <w:szCs w:val="22"/>
        </w:rPr>
        <w:t>。</w:t>
      </w:r>
    </w:p>
    <w:p w14:paraId="30C50497">
      <w:pPr>
        <w:pStyle w:val="35"/>
        <w:numPr>
          <w:ilvl w:val="0"/>
          <w:numId w:val="4"/>
        </w:numPr>
        <w:rPr>
          <w:rFonts w:hint="eastAsia" w:ascii="仿宋" w:hAnsi="仿宋" w:cs="仿宋"/>
          <w:color w:val="auto"/>
          <w:kern w:val="0"/>
          <w:szCs w:val="22"/>
          <w14:ligatures w14:val="none"/>
        </w:rPr>
      </w:pPr>
      <w:r>
        <w:rPr>
          <w:rFonts w:ascii="仿宋" w:hAnsi="仿宋" w:cs="仿宋"/>
          <w:color w:val="auto"/>
          <w:kern w:val="0"/>
          <w:szCs w:val="22"/>
          <w14:ligatures w14:val="none"/>
        </w:rPr>
        <w:t>性能提升</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9"/>
        <w:gridCol w:w="2330"/>
        <w:gridCol w:w="1652"/>
        <w:gridCol w:w="1341"/>
      </w:tblGrid>
      <w:tr w14:paraId="208208D8">
        <w:tc>
          <w:tcPr>
            <w:tcW w:w="1877" w:type="pct"/>
          </w:tcPr>
          <w:p w14:paraId="114DEC3A">
            <w:pPr>
              <w:pStyle w:val="43"/>
              <w:jc w:val="center"/>
              <w:rPr>
                <w:rFonts w:ascii="仿宋" w:hAnsi="仿宋" w:eastAsia="仿宋"/>
                <w:b/>
                <w:color w:val="auto"/>
                <w:sz w:val="24"/>
              </w:rPr>
            </w:pPr>
            <w:r>
              <w:rPr>
                <w:rFonts w:ascii="仿宋" w:hAnsi="仿宋" w:eastAsia="仿宋"/>
                <w:b/>
                <w:color w:val="auto"/>
                <w:sz w:val="24"/>
              </w:rPr>
              <w:t>指标项</w:t>
            </w:r>
          </w:p>
        </w:tc>
        <w:tc>
          <w:tcPr>
            <w:tcW w:w="1367" w:type="pct"/>
          </w:tcPr>
          <w:p w14:paraId="756C189A">
            <w:pPr>
              <w:pStyle w:val="43"/>
              <w:jc w:val="center"/>
              <w:rPr>
                <w:rFonts w:ascii="仿宋" w:hAnsi="仿宋" w:eastAsia="仿宋"/>
                <w:b/>
                <w:color w:val="auto"/>
                <w:sz w:val="24"/>
              </w:rPr>
            </w:pPr>
            <w:r>
              <w:rPr>
                <w:rFonts w:ascii="仿宋" w:hAnsi="仿宋" w:eastAsia="仿宋"/>
                <w:b/>
                <w:color w:val="auto"/>
                <w:sz w:val="24"/>
              </w:rPr>
              <w:t>现状基准</w:t>
            </w:r>
          </w:p>
        </w:tc>
        <w:tc>
          <w:tcPr>
            <w:tcW w:w="969" w:type="pct"/>
          </w:tcPr>
          <w:p w14:paraId="4EF8BA3D">
            <w:pPr>
              <w:pStyle w:val="43"/>
              <w:jc w:val="center"/>
              <w:rPr>
                <w:rFonts w:ascii="仿宋" w:hAnsi="仿宋" w:eastAsia="仿宋"/>
                <w:b/>
                <w:color w:val="auto"/>
                <w:sz w:val="24"/>
              </w:rPr>
            </w:pPr>
            <w:r>
              <w:rPr>
                <w:rFonts w:ascii="仿宋" w:hAnsi="仿宋" w:eastAsia="仿宋"/>
                <w:b/>
                <w:color w:val="auto"/>
                <w:sz w:val="24"/>
              </w:rPr>
              <w:t>升级目标</w:t>
            </w:r>
          </w:p>
        </w:tc>
        <w:tc>
          <w:tcPr>
            <w:tcW w:w="787" w:type="pct"/>
          </w:tcPr>
          <w:p w14:paraId="370D9E63">
            <w:pPr>
              <w:pStyle w:val="43"/>
              <w:jc w:val="center"/>
              <w:rPr>
                <w:rFonts w:ascii="仿宋" w:hAnsi="仿宋" w:eastAsia="仿宋"/>
                <w:b/>
                <w:color w:val="auto"/>
                <w:sz w:val="24"/>
              </w:rPr>
            </w:pPr>
            <w:r>
              <w:rPr>
                <w:rFonts w:ascii="仿宋" w:hAnsi="仿宋" w:eastAsia="仿宋"/>
                <w:b/>
                <w:color w:val="auto"/>
                <w:sz w:val="24"/>
              </w:rPr>
              <w:t>提升幅度</w:t>
            </w:r>
          </w:p>
        </w:tc>
      </w:tr>
      <w:tr w14:paraId="30B6360D">
        <w:tc>
          <w:tcPr>
            <w:tcW w:w="1877" w:type="pct"/>
          </w:tcPr>
          <w:p w14:paraId="379A07E2">
            <w:pPr>
              <w:pStyle w:val="43"/>
              <w:rPr>
                <w:rFonts w:ascii="仿宋" w:hAnsi="仿宋" w:eastAsia="仿宋"/>
                <w:color w:val="auto"/>
                <w:sz w:val="24"/>
              </w:rPr>
            </w:pPr>
            <w:r>
              <w:rPr>
                <w:rFonts w:ascii="仿宋" w:hAnsi="仿宋" w:eastAsia="仿宋"/>
                <w:color w:val="auto"/>
                <w:sz w:val="24"/>
              </w:rPr>
              <w:t>交互式查询响应（秒级）</w:t>
            </w:r>
          </w:p>
        </w:tc>
        <w:tc>
          <w:tcPr>
            <w:tcW w:w="1367" w:type="pct"/>
          </w:tcPr>
          <w:p w14:paraId="2B2D3288">
            <w:pPr>
              <w:pStyle w:val="43"/>
              <w:rPr>
                <w:rFonts w:ascii="仿宋" w:hAnsi="仿宋" w:eastAsia="仿宋"/>
                <w:color w:val="auto"/>
                <w:sz w:val="24"/>
              </w:rPr>
            </w:pPr>
            <w:r>
              <w:rPr>
                <w:rFonts w:ascii="仿宋" w:hAnsi="仿宋" w:eastAsia="仿宋"/>
                <w:color w:val="auto"/>
                <w:sz w:val="24"/>
              </w:rPr>
              <w:t>平均15-30秒</w:t>
            </w:r>
          </w:p>
        </w:tc>
        <w:tc>
          <w:tcPr>
            <w:tcW w:w="969" w:type="pct"/>
          </w:tcPr>
          <w:p w14:paraId="7FF8658B">
            <w:pPr>
              <w:pStyle w:val="43"/>
              <w:rPr>
                <w:rFonts w:ascii="仿宋" w:hAnsi="仿宋" w:eastAsia="仿宋"/>
                <w:color w:val="auto"/>
                <w:sz w:val="24"/>
              </w:rPr>
            </w:pPr>
            <w:r>
              <w:rPr>
                <w:rFonts w:ascii="仿宋" w:hAnsi="仿宋" w:eastAsia="仿宋"/>
                <w:color w:val="auto"/>
                <w:sz w:val="24"/>
              </w:rPr>
              <w:t>平均3-5秒</w:t>
            </w:r>
          </w:p>
        </w:tc>
        <w:tc>
          <w:tcPr>
            <w:tcW w:w="787" w:type="pct"/>
          </w:tcPr>
          <w:p w14:paraId="775C730A">
            <w:pPr>
              <w:pStyle w:val="43"/>
              <w:rPr>
                <w:rFonts w:ascii="仿宋" w:hAnsi="仿宋" w:eastAsia="仿宋"/>
                <w:color w:val="auto"/>
                <w:sz w:val="24"/>
              </w:rPr>
            </w:pPr>
            <w:r>
              <w:rPr>
                <w:rFonts w:ascii="仿宋" w:hAnsi="仿宋" w:eastAsia="仿宋"/>
                <w:color w:val="auto"/>
                <w:sz w:val="24"/>
              </w:rPr>
              <w:t>≥5倍</w:t>
            </w:r>
          </w:p>
        </w:tc>
      </w:tr>
      <w:tr w14:paraId="7ABAFD72">
        <w:tc>
          <w:tcPr>
            <w:tcW w:w="1877" w:type="pct"/>
          </w:tcPr>
          <w:p w14:paraId="59446E75">
            <w:pPr>
              <w:pStyle w:val="43"/>
              <w:rPr>
                <w:rFonts w:ascii="仿宋" w:hAnsi="仿宋" w:eastAsia="仿宋"/>
                <w:color w:val="auto"/>
                <w:sz w:val="24"/>
              </w:rPr>
            </w:pPr>
            <w:r>
              <w:rPr>
                <w:rFonts w:ascii="仿宋" w:hAnsi="仿宋" w:eastAsia="仿宋"/>
                <w:color w:val="auto"/>
                <w:sz w:val="24"/>
              </w:rPr>
              <w:t>并发查询支持数</w:t>
            </w:r>
          </w:p>
        </w:tc>
        <w:tc>
          <w:tcPr>
            <w:tcW w:w="1367" w:type="pct"/>
          </w:tcPr>
          <w:p w14:paraId="314E6143">
            <w:pPr>
              <w:pStyle w:val="43"/>
              <w:rPr>
                <w:rFonts w:ascii="仿宋" w:hAnsi="仿宋" w:eastAsia="仿宋"/>
                <w:color w:val="auto"/>
                <w:sz w:val="24"/>
              </w:rPr>
            </w:pPr>
            <w:r>
              <w:rPr>
                <w:rFonts w:ascii="仿宋" w:hAnsi="仿宋" w:eastAsia="仿宋"/>
                <w:color w:val="auto"/>
                <w:sz w:val="24"/>
              </w:rPr>
              <w:t>≤50</w:t>
            </w:r>
          </w:p>
        </w:tc>
        <w:tc>
          <w:tcPr>
            <w:tcW w:w="969" w:type="pct"/>
          </w:tcPr>
          <w:p w14:paraId="26F60A41">
            <w:pPr>
              <w:pStyle w:val="43"/>
              <w:rPr>
                <w:rFonts w:ascii="仿宋" w:hAnsi="仿宋" w:eastAsia="仿宋"/>
                <w:color w:val="auto"/>
                <w:sz w:val="24"/>
              </w:rPr>
            </w:pPr>
            <w:r>
              <w:rPr>
                <w:rFonts w:ascii="仿宋" w:hAnsi="仿宋" w:eastAsia="仿宋"/>
                <w:color w:val="auto"/>
                <w:sz w:val="24"/>
              </w:rPr>
              <w:t>≥200</w:t>
            </w:r>
          </w:p>
        </w:tc>
        <w:tc>
          <w:tcPr>
            <w:tcW w:w="787" w:type="pct"/>
          </w:tcPr>
          <w:p w14:paraId="47F41AF5">
            <w:pPr>
              <w:pStyle w:val="43"/>
              <w:rPr>
                <w:rFonts w:ascii="仿宋" w:hAnsi="仿宋" w:eastAsia="仿宋"/>
                <w:color w:val="auto"/>
                <w:sz w:val="24"/>
              </w:rPr>
            </w:pPr>
            <w:r>
              <w:rPr>
                <w:rFonts w:ascii="仿宋" w:hAnsi="仿宋" w:eastAsia="仿宋"/>
                <w:color w:val="auto"/>
                <w:sz w:val="24"/>
              </w:rPr>
              <w:t>≥4倍</w:t>
            </w:r>
          </w:p>
        </w:tc>
      </w:tr>
      <w:tr w14:paraId="31807002">
        <w:tc>
          <w:tcPr>
            <w:tcW w:w="1877" w:type="pct"/>
          </w:tcPr>
          <w:p w14:paraId="7299F373">
            <w:pPr>
              <w:pStyle w:val="43"/>
              <w:rPr>
                <w:rFonts w:ascii="仿宋" w:hAnsi="仿宋" w:eastAsia="仿宋"/>
                <w:color w:val="auto"/>
                <w:sz w:val="24"/>
              </w:rPr>
            </w:pPr>
            <w:r>
              <w:rPr>
                <w:rFonts w:ascii="仿宋" w:hAnsi="仿宋" w:eastAsia="仿宋"/>
                <w:color w:val="auto"/>
                <w:sz w:val="24"/>
              </w:rPr>
              <w:t>夜间批处理完成时长</w:t>
            </w:r>
          </w:p>
        </w:tc>
        <w:tc>
          <w:tcPr>
            <w:tcW w:w="1367" w:type="pct"/>
          </w:tcPr>
          <w:p w14:paraId="171D787E">
            <w:pPr>
              <w:pStyle w:val="43"/>
              <w:rPr>
                <w:rFonts w:ascii="仿宋" w:hAnsi="仿宋" w:eastAsia="仿宋"/>
                <w:color w:val="auto"/>
                <w:sz w:val="24"/>
              </w:rPr>
            </w:pPr>
            <w:r>
              <w:rPr>
                <w:rFonts w:ascii="仿宋" w:hAnsi="仿宋" w:eastAsia="仿宋"/>
                <w:color w:val="auto"/>
                <w:sz w:val="24"/>
              </w:rPr>
              <w:t>8-10小时</w:t>
            </w:r>
          </w:p>
        </w:tc>
        <w:tc>
          <w:tcPr>
            <w:tcW w:w="969" w:type="pct"/>
          </w:tcPr>
          <w:p w14:paraId="60A43B09">
            <w:pPr>
              <w:pStyle w:val="43"/>
              <w:rPr>
                <w:rFonts w:ascii="仿宋" w:hAnsi="仿宋" w:eastAsia="仿宋"/>
                <w:color w:val="auto"/>
                <w:sz w:val="24"/>
              </w:rPr>
            </w:pPr>
            <w:r>
              <w:rPr>
                <w:rFonts w:ascii="仿宋" w:hAnsi="仿宋" w:eastAsia="仿宋"/>
                <w:color w:val="auto"/>
                <w:sz w:val="24"/>
              </w:rPr>
              <w:t>4-5小时</w:t>
            </w:r>
          </w:p>
        </w:tc>
        <w:tc>
          <w:tcPr>
            <w:tcW w:w="787" w:type="pct"/>
          </w:tcPr>
          <w:p w14:paraId="1779AA21">
            <w:pPr>
              <w:pStyle w:val="43"/>
              <w:rPr>
                <w:rFonts w:ascii="仿宋" w:hAnsi="仿宋" w:eastAsia="仿宋"/>
                <w:color w:val="auto"/>
                <w:sz w:val="24"/>
              </w:rPr>
            </w:pPr>
            <w:r>
              <w:rPr>
                <w:rFonts w:ascii="仿宋" w:hAnsi="仿宋" w:eastAsia="仿宋"/>
                <w:color w:val="auto"/>
                <w:sz w:val="24"/>
              </w:rPr>
              <w:t>≥50%</w:t>
            </w:r>
          </w:p>
        </w:tc>
      </w:tr>
      <w:tr w14:paraId="44A2ED95">
        <w:tc>
          <w:tcPr>
            <w:tcW w:w="1877" w:type="pct"/>
          </w:tcPr>
          <w:p w14:paraId="2755C329">
            <w:pPr>
              <w:pStyle w:val="43"/>
              <w:rPr>
                <w:rFonts w:ascii="仿宋" w:hAnsi="仿宋" w:eastAsia="仿宋"/>
                <w:color w:val="auto"/>
                <w:sz w:val="24"/>
              </w:rPr>
            </w:pPr>
            <w:r>
              <w:rPr>
                <w:rFonts w:ascii="仿宋" w:hAnsi="仿宋" w:eastAsia="仿宋"/>
                <w:color w:val="auto"/>
                <w:sz w:val="24"/>
              </w:rPr>
              <w:t>存储压缩比</w:t>
            </w:r>
          </w:p>
        </w:tc>
        <w:tc>
          <w:tcPr>
            <w:tcW w:w="1367" w:type="pct"/>
          </w:tcPr>
          <w:p w14:paraId="202CCBD8">
            <w:pPr>
              <w:pStyle w:val="43"/>
              <w:rPr>
                <w:rFonts w:ascii="仿宋" w:hAnsi="仿宋" w:eastAsia="仿宋"/>
                <w:color w:val="auto"/>
                <w:sz w:val="24"/>
              </w:rPr>
            </w:pPr>
            <w:r>
              <w:rPr>
                <w:rFonts w:ascii="仿宋" w:hAnsi="仿宋" w:eastAsia="仿宋"/>
                <w:color w:val="auto"/>
                <w:sz w:val="24"/>
              </w:rPr>
              <w:t>约3:1</w:t>
            </w:r>
          </w:p>
        </w:tc>
        <w:tc>
          <w:tcPr>
            <w:tcW w:w="969" w:type="pct"/>
          </w:tcPr>
          <w:p w14:paraId="7194F009">
            <w:pPr>
              <w:pStyle w:val="43"/>
              <w:rPr>
                <w:rFonts w:ascii="仿宋" w:hAnsi="仿宋" w:eastAsia="仿宋"/>
                <w:color w:val="auto"/>
                <w:sz w:val="24"/>
              </w:rPr>
            </w:pPr>
            <w:r>
              <w:rPr>
                <w:rFonts w:ascii="仿宋" w:hAnsi="仿宋" w:eastAsia="仿宋"/>
                <w:color w:val="auto"/>
                <w:sz w:val="24"/>
              </w:rPr>
              <w:t>约5:1</w:t>
            </w:r>
          </w:p>
        </w:tc>
        <w:tc>
          <w:tcPr>
            <w:tcW w:w="787" w:type="pct"/>
          </w:tcPr>
          <w:p w14:paraId="79C98FEA">
            <w:pPr>
              <w:pStyle w:val="43"/>
              <w:rPr>
                <w:rFonts w:ascii="仿宋" w:hAnsi="仿宋" w:eastAsia="仿宋"/>
                <w:color w:val="auto"/>
                <w:sz w:val="24"/>
              </w:rPr>
            </w:pPr>
            <w:r>
              <w:rPr>
                <w:rFonts w:ascii="仿宋" w:hAnsi="仿宋" w:eastAsia="仿宋"/>
                <w:color w:val="auto"/>
                <w:sz w:val="24"/>
              </w:rPr>
              <w:t>≥60%</w:t>
            </w:r>
          </w:p>
        </w:tc>
      </w:tr>
      <w:tr w14:paraId="50106C9F">
        <w:tc>
          <w:tcPr>
            <w:tcW w:w="1877" w:type="pct"/>
          </w:tcPr>
          <w:p w14:paraId="3981446C">
            <w:pPr>
              <w:pStyle w:val="43"/>
              <w:rPr>
                <w:rFonts w:ascii="仿宋" w:hAnsi="仿宋" w:eastAsia="仿宋"/>
                <w:color w:val="auto"/>
                <w:sz w:val="24"/>
              </w:rPr>
            </w:pPr>
            <w:r>
              <w:rPr>
                <w:rFonts w:ascii="仿宋" w:hAnsi="仿宋" w:eastAsia="仿宋"/>
                <w:color w:val="auto"/>
                <w:sz w:val="24"/>
              </w:rPr>
              <w:t>系统可用性（年）</w:t>
            </w:r>
          </w:p>
        </w:tc>
        <w:tc>
          <w:tcPr>
            <w:tcW w:w="1367" w:type="pct"/>
          </w:tcPr>
          <w:p w14:paraId="2F2AAE2A">
            <w:pPr>
              <w:pStyle w:val="43"/>
              <w:rPr>
                <w:rFonts w:ascii="仿宋" w:hAnsi="仿宋" w:eastAsia="仿宋"/>
                <w:color w:val="auto"/>
                <w:sz w:val="24"/>
              </w:rPr>
            </w:pPr>
            <w:r>
              <w:rPr>
                <w:rFonts w:ascii="仿宋" w:hAnsi="仿宋" w:eastAsia="仿宋"/>
                <w:color w:val="auto"/>
                <w:sz w:val="24"/>
              </w:rPr>
              <w:t>99.5%</w:t>
            </w:r>
          </w:p>
        </w:tc>
        <w:tc>
          <w:tcPr>
            <w:tcW w:w="969" w:type="pct"/>
          </w:tcPr>
          <w:p w14:paraId="13684D50">
            <w:pPr>
              <w:pStyle w:val="43"/>
              <w:rPr>
                <w:rFonts w:ascii="仿宋" w:hAnsi="仿宋" w:eastAsia="仿宋"/>
                <w:color w:val="auto"/>
                <w:sz w:val="24"/>
              </w:rPr>
            </w:pPr>
            <w:r>
              <w:rPr>
                <w:rFonts w:ascii="仿宋" w:hAnsi="仿宋" w:eastAsia="仿宋"/>
                <w:color w:val="auto"/>
                <w:sz w:val="24"/>
              </w:rPr>
              <w:t>99.9%</w:t>
            </w:r>
          </w:p>
        </w:tc>
        <w:tc>
          <w:tcPr>
            <w:tcW w:w="787" w:type="pct"/>
          </w:tcPr>
          <w:p w14:paraId="236AB78D">
            <w:pPr>
              <w:pStyle w:val="43"/>
              <w:rPr>
                <w:rFonts w:ascii="仿宋" w:hAnsi="仿宋" w:eastAsia="仿宋"/>
                <w:color w:val="auto"/>
                <w:sz w:val="24"/>
              </w:rPr>
            </w:pPr>
            <w:r>
              <w:rPr>
                <w:rFonts w:ascii="仿宋" w:hAnsi="仿宋" w:eastAsia="仿宋"/>
                <w:color w:val="auto"/>
                <w:sz w:val="24"/>
              </w:rPr>
              <w:t>提升0.4%</w:t>
            </w:r>
          </w:p>
        </w:tc>
      </w:tr>
      <w:tr w14:paraId="3FDDD359">
        <w:tc>
          <w:tcPr>
            <w:tcW w:w="1877" w:type="pct"/>
          </w:tcPr>
          <w:p w14:paraId="2123E5C8">
            <w:pPr>
              <w:pStyle w:val="43"/>
              <w:rPr>
                <w:rFonts w:ascii="仿宋" w:hAnsi="仿宋" w:eastAsia="仿宋"/>
                <w:color w:val="auto"/>
                <w:sz w:val="24"/>
              </w:rPr>
            </w:pPr>
            <w:r>
              <w:rPr>
                <w:rFonts w:ascii="仿宋" w:hAnsi="仿宋" w:eastAsia="仿宋"/>
                <w:color w:val="auto"/>
                <w:sz w:val="24"/>
              </w:rPr>
              <w:t>数据接入延迟</w:t>
            </w:r>
          </w:p>
        </w:tc>
        <w:tc>
          <w:tcPr>
            <w:tcW w:w="1367" w:type="pct"/>
          </w:tcPr>
          <w:p w14:paraId="7932F136">
            <w:pPr>
              <w:pStyle w:val="43"/>
              <w:rPr>
                <w:rFonts w:ascii="仿宋" w:hAnsi="仿宋" w:eastAsia="仿宋"/>
                <w:color w:val="auto"/>
                <w:sz w:val="24"/>
              </w:rPr>
            </w:pPr>
            <w:r>
              <w:rPr>
                <w:rFonts w:ascii="仿宋" w:hAnsi="仿宋" w:eastAsia="仿宋"/>
                <w:color w:val="auto"/>
                <w:sz w:val="24"/>
              </w:rPr>
              <w:t>分钟级</w:t>
            </w:r>
          </w:p>
        </w:tc>
        <w:tc>
          <w:tcPr>
            <w:tcW w:w="969" w:type="pct"/>
          </w:tcPr>
          <w:p w14:paraId="325C905E">
            <w:pPr>
              <w:pStyle w:val="43"/>
              <w:rPr>
                <w:rFonts w:ascii="仿宋" w:hAnsi="仿宋" w:eastAsia="仿宋"/>
                <w:color w:val="auto"/>
                <w:sz w:val="24"/>
              </w:rPr>
            </w:pPr>
            <w:r>
              <w:rPr>
                <w:rFonts w:ascii="仿宋" w:hAnsi="仿宋" w:eastAsia="仿宋"/>
                <w:color w:val="auto"/>
                <w:sz w:val="24"/>
              </w:rPr>
              <w:t>秒级</w:t>
            </w:r>
          </w:p>
        </w:tc>
        <w:tc>
          <w:tcPr>
            <w:tcW w:w="787" w:type="pct"/>
          </w:tcPr>
          <w:p w14:paraId="241B216B">
            <w:pPr>
              <w:pStyle w:val="43"/>
              <w:rPr>
                <w:rFonts w:ascii="仿宋" w:hAnsi="仿宋" w:eastAsia="仿宋"/>
                <w:color w:val="auto"/>
                <w:sz w:val="24"/>
              </w:rPr>
            </w:pPr>
            <w:r>
              <w:rPr>
                <w:rFonts w:ascii="仿宋" w:hAnsi="仿宋" w:eastAsia="仿宋"/>
                <w:color w:val="auto"/>
                <w:sz w:val="24"/>
              </w:rPr>
              <w:t>质的提升</w:t>
            </w:r>
          </w:p>
        </w:tc>
      </w:tr>
    </w:tbl>
    <w:p w14:paraId="3C01D021">
      <w:pPr>
        <w:pStyle w:val="35"/>
        <w:numPr>
          <w:ilvl w:val="0"/>
          <w:numId w:val="4"/>
        </w:numPr>
        <w:rPr>
          <w:rFonts w:hint="eastAsia" w:ascii="仿宋" w:hAnsi="仿宋" w:cs="仿宋"/>
          <w:color w:val="auto"/>
          <w:kern w:val="0"/>
          <w:szCs w:val="22"/>
          <w14:ligatures w14:val="none"/>
        </w:rPr>
      </w:pPr>
      <w:r>
        <w:rPr>
          <w:rFonts w:ascii="仿宋" w:hAnsi="仿宋" w:cs="仿宋"/>
          <w:color w:val="auto"/>
          <w:kern w:val="0"/>
          <w:szCs w:val="22"/>
          <w14:ligatures w14:val="none"/>
        </w:rPr>
        <w:t>业务连续性</w:t>
      </w:r>
    </w:p>
    <w:p w14:paraId="2C9A50D0">
      <w:pPr>
        <w:pStyle w:val="42"/>
        <w:jc w:val="both"/>
        <w:rPr>
          <w:rFonts w:hint="eastAsia"/>
          <w:color w:val="auto"/>
        </w:rPr>
      </w:pPr>
      <w:r>
        <w:rPr>
          <w:color w:val="auto"/>
          <w:szCs w:val="22"/>
        </w:rPr>
        <w:t>本次升级改造的核心约束之一是：业务全程不停机，数据零丢失，接口零中断。具体要求如下：</w:t>
      </w:r>
    </w:p>
    <w:p w14:paraId="371B18B3">
      <w:pPr>
        <w:widowControl/>
        <w:ind w:firstLine="480" w:firstLineChars="200"/>
        <w:rPr>
          <w:rFonts w:hint="eastAsia"/>
          <w:color w:val="auto"/>
        </w:rPr>
      </w:pPr>
      <w:r>
        <w:rPr>
          <w:rFonts w:ascii="仿宋" w:hAnsi="仿宋" w:cs="仿宋"/>
          <w:color w:val="auto"/>
          <w:szCs w:val="22"/>
        </w:rPr>
        <w:t>升级期间，所有在线业务系统（含领导驾驶舱、政务服务接口、共享交换服务）保持7×24小时正常对外服务</w:t>
      </w:r>
      <w:r>
        <w:rPr>
          <w:rFonts w:hint="eastAsia" w:ascii="仿宋" w:hAnsi="仿宋" w:cs="仿宋"/>
          <w:color w:val="auto"/>
          <w:szCs w:val="22"/>
        </w:rPr>
        <w:t>。</w:t>
      </w:r>
    </w:p>
    <w:p w14:paraId="258F5C67">
      <w:pPr>
        <w:widowControl/>
        <w:ind w:firstLine="480" w:firstLineChars="200"/>
        <w:rPr>
          <w:rFonts w:hint="eastAsia"/>
          <w:color w:val="auto"/>
        </w:rPr>
      </w:pPr>
      <w:r>
        <w:rPr>
          <w:rFonts w:ascii="仿宋" w:hAnsi="仿宋" w:cs="仿宋"/>
          <w:color w:val="auto"/>
          <w:szCs w:val="22"/>
        </w:rPr>
        <w:t>夜间批量处理任务（</w:t>
      </w:r>
      <w:r>
        <w:rPr>
          <w:rFonts w:hint="eastAsia" w:cs="仿宋"/>
          <w:color w:val="auto"/>
          <w:szCs w:val="22"/>
        </w:rPr>
        <w:t>Inceptor</w:t>
      </w:r>
      <w:r>
        <w:rPr>
          <w:rFonts w:ascii="仿宋" w:hAnsi="仿宋" w:cs="仿宋"/>
          <w:color w:val="auto"/>
          <w:szCs w:val="22"/>
        </w:rPr>
        <w:t>/</w:t>
      </w:r>
      <w:r>
        <w:rPr>
          <w:rFonts w:hint="eastAsia" w:cs="仿宋"/>
          <w:color w:val="auto"/>
          <w:szCs w:val="22"/>
        </w:rPr>
        <w:t>Slipstream</w:t>
      </w:r>
      <w:r>
        <w:rPr>
          <w:rFonts w:ascii="仿宋" w:hAnsi="仿宋" w:cs="仿宋"/>
          <w:color w:val="auto"/>
          <w:szCs w:val="22"/>
        </w:rPr>
        <w:t>/HiveSQL作业）在升级过渡期间按原计划正常执行，不影响次日数据上线</w:t>
      </w:r>
      <w:r>
        <w:rPr>
          <w:rFonts w:hint="eastAsia" w:ascii="仿宋" w:hAnsi="仿宋" w:cs="仿宋"/>
          <w:color w:val="auto"/>
          <w:szCs w:val="22"/>
        </w:rPr>
        <w:t>。</w:t>
      </w:r>
    </w:p>
    <w:p w14:paraId="07D898F0">
      <w:pPr>
        <w:widowControl/>
        <w:ind w:firstLine="480" w:firstLineChars="200"/>
        <w:rPr>
          <w:rFonts w:hint="eastAsia"/>
          <w:color w:val="auto"/>
        </w:rPr>
      </w:pPr>
      <w:r>
        <w:rPr>
          <w:rFonts w:ascii="仿宋" w:hAnsi="仿宋" w:cs="仿宋"/>
          <w:color w:val="auto"/>
          <w:szCs w:val="22"/>
        </w:rPr>
        <w:t>Kundb共享数据库接口在切换前后保持数据一致，下游业务系统无感知</w:t>
      </w:r>
      <w:r>
        <w:rPr>
          <w:rFonts w:hint="eastAsia" w:ascii="仿宋" w:hAnsi="仿宋" w:cs="仿宋"/>
          <w:color w:val="auto"/>
          <w:szCs w:val="22"/>
        </w:rPr>
        <w:t>。</w:t>
      </w:r>
    </w:p>
    <w:p w14:paraId="1B6FE789">
      <w:pPr>
        <w:widowControl/>
        <w:ind w:firstLine="480" w:firstLineChars="200"/>
        <w:rPr>
          <w:rFonts w:hint="eastAsia"/>
          <w:color w:val="auto"/>
        </w:rPr>
      </w:pPr>
      <w:r>
        <w:rPr>
          <w:rFonts w:ascii="仿宋" w:hAnsi="仿宋" w:cs="仿宋"/>
          <w:color w:val="auto"/>
          <w:szCs w:val="22"/>
        </w:rPr>
        <w:t>数据迁移过程中采用双通道同步机制，确保历史数据和增量数据完整性</w:t>
      </w:r>
      <w:r>
        <w:rPr>
          <w:rFonts w:hint="eastAsia" w:ascii="仿宋" w:hAnsi="仿宋" w:cs="仿宋"/>
          <w:color w:val="auto"/>
          <w:szCs w:val="22"/>
        </w:rPr>
        <w:t>。</w:t>
      </w:r>
    </w:p>
    <w:p w14:paraId="2F123D06">
      <w:pPr>
        <w:widowControl/>
        <w:ind w:firstLine="480" w:firstLineChars="200"/>
        <w:rPr>
          <w:rFonts w:hint="eastAsia"/>
          <w:color w:val="auto"/>
        </w:rPr>
      </w:pPr>
      <w:r>
        <w:rPr>
          <w:rFonts w:ascii="仿宋" w:hAnsi="仿宋" w:cs="仿宋"/>
          <w:color w:val="auto"/>
          <w:szCs w:val="22"/>
        </w:rPr>
        <w:t>提供完整的回退方案，任意阶段如发现严重问题，可在4小时内回退至上一稳定状态</w:t>
      </w:r>
      <w:r>
        <w:rPr>
          <w:rFonts w:hint="eastAsia" w:ascii="仿宋" w:hAnsi="仿宋" w:cs="仿宋"/>
          <w:color w:val="auto"/>
          <w:szCs w:val="22"/>
        </w:rPr>
        <w:t>。</w:t>
      </w:r>
    </w:p>
    <w:p w14:paraId="69BBE93E">
      <w:pPr>
        <w:pStyle w:val="3"/>
        <w:rPr>
          <w:rFonts w:hint="eastAsia"/>
          <w:color w:val="auto"/>
        </w:rPr>
      </w:pPr>
      <w:bookmarkStart w:id="42" w:name="_Toc230106860"/>
      <w:r>
        <w:rPr>
          <w:rFonts w:hint="eastAsia"/>
          <w:color w:val="auto"/>
        </w:rPr>
        <w:t>总体设计方案</w:t>
      </w:r>
      <w:bookmarkEnd w:id="42"/>
    </w:p>
    <w:p w14:paraId="68EFD619">
      <w:pPr>
        <w:pStyle w:val="4"/>
        <w:rPr>
          <w:rFonts w:hint="eastAsia"/>
          <w:color w:val="auto"/>
        </w:rPr>
      </w:pPr>
      <w:bookmarkStart w:id="43" w:name="_Toc230106861"/>
      <w:r>
        <w:rPr>
          <w:rFonts w:hint="eastAsia"/>
          <w:color w:val="auto"/>
        </w:rPr>
        <w:t>项目总体规划</w:t>
      </w:r>
      <w:bookmarkEnd w:id="43"/>
    </w:p>
    <w:p w14:paraId="53F57079">
      <w:pPr>
        <w:pStyle w:val="42"/>
        <w:jc w:val="both"/>
        <w:rPr>
          <w:rFonts w:hint="eastAsia"/>
          <w:color w:val="auto"/>
          <w:szCs w:val="22"/>
        </w:rPr>
      </w:pPr>
      <w:r>
        <w:rPr>
          <w:color w:val="auto"/>
          <w:szCs w:val="22"/>
        </w:rPr>
        <w:t>升级改造后，浦东新区大数据平台将形成以TDC 5.1统一管控、TDH 9.3提供分布式计算框架、ArgoDB 6.2承载HTAP分析引擎为核心的新一代政务大数据技术架构。核心思路如下：</w:t>
      </w:r>
    </w:p>
    <w:p w14:paraId="09E8A14F">
      <w:pPr>
        <w:pStyle w:val="5"/>
        <w:rPr>
          <w:rFonts w:hint="eastAsia"/>
          <w:color w:val="auto"/>
        </w:rPr>
      </w:pPr>
      <w:r>
        <w:rPr>
          <w:color w:val="auto"/>
        </w:rPr>
        <w:t>旁路新建（第一阶段）</w:t>
      </w:r>
    </w:p>
    <w:p w14:paraId="3C8114E3">
      <w:pPr>
        <w:pStyle w:val="42"/>
        <w:jc w:val="both"/>
        <w:rPr>
          <w:rFonts w:hint="eastAsia"/>
          <w:color w:val="auto"/>
        </w:rPr>
      </w:pPr>
      <w:r>
        <w:rPr>
          <w:color w:val="auto"/>
          <w:szCs w:val="22"/>
        </w:rPr>
        <w:t>在现有集群旁新建TDH 9.3 + ArgoDB 6.2新集群，引入ARM信创节点，完成新平台的基础环境建设和组件部署。</w:t>
      </w:r>
    </w:p>
    <w:p w14:paraId="3F0B235A">
      <w:pPr>
        <w:pStyle w:val="5"/>
        <w:rPr>
          <w:rFonts w:hint="eastAsia"/>
          <w:color w:val="auto"/>
        </w:rPr>
      </w:pPr>
      <w:r>
        <w:rPr>
          <w:color w:val="auto"/>
        </w:rPr>
        <w:t>双轨并行（第二、三阶段）</w:t>
      </w:r>
    </w:p>
    <w:p w14:paraId="29581A33">
      <w:pPr>
        <w:pStyle w:val="42"/>
        <w:jc w:val="both"/>
        <w:rPr>
          <w:rFonts w:hint="eastAsia"/>
          <w:color w:val="auto"/>
        </w:rPr>
      </w:pPr>
      <w:r>
        <w:rPr>
          <w:color w:val="auto"/>
          <w:szCs w:val="22"/>
        </w:rPr>
        <w:t>新旧集群建立数据同步通道，实现生产数据向新集群的实时/准实时同步。在数据同步稳定的基础上，在新集群上逐步重建计算作业，并与旧集群并行运行、结果比对，验证新集群计算正确性。</w:t>
      </w:r>
    </w:p>
    <w:p w14:paraId="33F1DC96">
      <w:pPr>
        <w:pStyle w:val="5"/>
        <w:rPr>
          <w:rFonts w:hint="eastAsia"/>
          <w:color w:val="auto"/>
        </w:rPr>
      </w:pPr>
      <w:r>
        <w:rPr>
          <w:color w:val="auto"/>
        </w:rPr>
        <w:t>灰度切换（第四阶段）</w:t>
      </w:r>
    </w:p>
    <w:p w14:paraId="60A839F6">
      <w:pPr>
        <w:pStyle w:val="42"/>
        <w:jc w:val="both"/>
        <w:rPr>
          <w:rFonts w:hint="eastAsia"/>
          <w:color w:val="auto"/>
        </w:rPr>
      </w:pPr>
      <w:r>
        <w:rPr>
          <w:color w:val="auto"/>
          <w:szCs w:val="22"/>
        </w:rPr>
        <w:t>通过流量网关和VIP切换机制，将业务请求按比例逐步引流至新集群。从非核心业务、批处理任务开始，逐步扩大新集群承接的业务比例，直至全量切换。</w:t>
      </w:r>
    </w:p>
    <w:p w14:paraId="30C4798B">
      <w:pPr>
        <w:pStyle w:val="5"/>
        <w:rPr>
          <w:rFonts w:hint="eastAsia"/>
          <w:color w:val="auto"/>
        </w:rPr>
      </w:pPr>
      <w:r>
        <w:rPr>
          <w:color w:val="auto"/>
        </w:rPr>
        <w:t>旧集群下线（第六阶段）</w:t>
      </w:r>
    </w:p>
    <w:p w14:paraId="7C77A7E7">
      <w:pPr>
        <w:pStyle w:val="42"/>
        <w:jc w:val="both"/>
        <w:rPr>
          <w:rFonts w:hint="eastAsia"/>
          <w:color w:val="auto"/>
        </w:rPr>
      </w:pPr>
      <w:r>
        <w:rPr>
          <w:color w:val="auto"/>
          <w:szCs w:val="22"/>
        </w:rPr>
        <w:t>全量切换并稳定运行一段时间（建议不少于30天）后，在确认新集群完全可靠的前提下，有序下线旧集群节点，完成硬件资源回收或信创改造。</w:t>
      </w:r>
    </w:p>
    <w:p w14:paraId="15714407">
      <w:pPr>
        <w:pStyle w:val="4"/>
        <w:rPr>
          <w:rFonts w:hint="eastAsia"/>
          <w:color w:val="auto"/>
        </w:rPr>
      </w:pPr>
      <w:bookmarkStart w:id="44" w:name="_Toc230106862"/>
      <w:r>
        <w:rPr>
          <w:rFonts w:hint="eastAsia"/>
          <w:color w:val="auto"/>
        </w:rPr>
        <w:t>设计原则</w:t>
      </w:r>
      <w:bookmarkEnd w:id="44"/>
    </w:p>
    <w:p w14:paraId="354B84CE">
      <w:pPr>
        <w:ind w:firstLine="480" w:firstLineChars="200"/>
        <w:rPr>
          <w:rFonts w:hint="eastAsia"/>
          <w:color w:val="auto"/>
        </w:rPr>
      </w:pPr>
      <w:r>
        <w:rPr>
          <w:rFonts w:ascii="仿宋" w:hAnsi="仿宋" w:cs="仿宋"/>
          <w:color w:val="auto"/>
          <w:szCs w:val="22"/>
        </w:rPr>
        <w:t>本项目以平台升级、信创替代、安全合规、业务不停为核心原则，通过对浦东新区大数据平台的系统性升级改造，实现平台从TDC 2.3/TDH 6.2/Inceptor架构向TDC 5.1/TDH 9.3/ArgoDB 6.2的整体迁移，完成信创改造和国产化替代，全面提升平台的性能、安全、稳定性和扩展能力，为浦东新区政务数字化转型提供坚实的数据底座支撑。</w:t>
      </w:r>
    </w:p>
    <w:p w14:paraId="2D329885">
      <w:pPr>
        <w:pStyle w:val="4"/>
        <w:rPr>
          <w:rFonts w:hint="eastAsia"/>
          <w:color w:val="auto"/>
        </w:rPr>
      </w:pPr>
      <w:bookmarkStart w:id="45" w:name="_Toc230106863"/>
      <w:r>
        <w:rPr>
          <w:rFonts w:hint="eastAsia"/>
          <w:color w:val="auto"/>
        </w:rPr>
        <w:t>设计依据</w:t>
      </w:r>
      <w:bookmarkEnd w:id="45"/>
    </w:p>
    <w:p w14:paraId="0911FD50">
      <w:pPr>
        <w:pStyle w:val="5"/>
        <w:rPr>
          <w:rFonts w:hint="eastAsia"/>
          <w:color w:val="auto"/>
        </w:rPr>
      </w:pPr>
      <w:r>
        <w:rPr>
          <w:rFonts w:hint="eastAsia"/>
          <w:color w:val="auto"/>
        </w:rPr>
        <w:t>政策法规依据</w:t>
      </w:r>
    </w:p>
    <w:p w14:paraId="122F951F">
      <w:pPr>
        <w:ind w:firstLine="420"/>
        <w:jc w:val="both"/>
        <w:rPr>
          <w:rFonts w:hint="eastAsia"/>
          <w:color w:val="auto"/>
        </w:rPr>
      </w:pPr>
      <w:r>
        <w:rPr>
          <w:rFonts w:hint="eastAsia"/>
          <w:color w:val="auto"/>
        </w:rPr>
        <w:t>国家层面：《中华人民共和国数据安全法》《中华人民共和国个人信息保护法》《关键信息基础设施安全保护条例》，以及《网络数据安全管理条例》（2025 年 1 月 1 日起施行），明确网络数据处理活动的安全要求、分类分级保护原则及合规管理标准，为平台安全合规升级提供根本遵循。同时，国家信创产业发展规划及相关政策，明确政务领域国产化替代、技术自主可控的要求，指导项目信创改造工作推进。</w:t>
      </w:r>
    </w:p>
    <w:p w14:paraId="46787C6F">
      <w:pPr>
        <w:ind w:firstLine="420"/>
        <w:jc w:val="both"/>
        <w:rPr>
          <w:rFonts w:hint="eastAsia"/>
          <w:color w:val="auto"/>
        </w:rPr>
      </w:pPr>
      <w:r>
        <w:rPr>
          <w:rFonts w:hint="eastAsia"/>
          <w:color w:val="auto"/>
        </w:rPr>
        <w:t>地方层面：《上海市全面推进城市数字化转型 “十四五” 规划》，明确城市数字化转型的总体部署，结合浦东新区政务数字化转型专项要求，确定平台升级需支撑政务数据高效利用、业务协同联动的核心目标，契合地方数字化发展战略。</w:t>
      </w:r>
    </w:p>
    <w:p w14:paraId="174A94AE">
      <w:pPr>
        <w:pStyle w:val="5"/>
        <w:rPr>
          <w:rFonts w:hint="eastAsia"/>
          <w:color w:val="auto"/>
        </w:rPr>
      </w:pPr>
      <w:r>
        <w:rPr>
          <w:rFonts w:hint="eastAsia"/>
          <w:color w:val="auto"/>
        </w:rPr>
        <w:t>行业与技术标准依据</w:t>
      </w:r>
    </w:p>
    <w:p w14:paraId="23368F56">
      <w:pPr>
        <w:ind w:firstLine="420"/>
        <w:jc w:val="both"/>
        <w:rPr>
          <w:rFonts w:hint="eastAsia"/>
          <w:color w:val="auto"/>
        </w:rPr>
      </w:pPr>
      <w:r>
        <w:rPr>
          <w:rFonts w:hint="eastAsia"/>
          <w:color w:val="auto"/>
        </w:rPr>
        <w:t>大数据平台相关标准：参照《大数据平台云化改造实践指南（2024）》，遵循大数据平台云原生化、资源集约化、运维标准化的改造原则，指导平台架构升级、组件优化及迁移实施，确保升级后平台符合行业技术发展方向。</w:t>
      </w:r>
    </w:p>
    <w:p w14:paraId="7F258B96">
      <w:pPr>
        <w:jc w:val="both"/>
        <w:rPr>
          <w:rFonts w:hint="eastAsia"/>
          <w:color w:val="auto"/>
        </w:rPr>
      </w:pPr>
      <w:r>
        <w:rPr>
          <w:rFonts w:hint="eastAsia"/>
          <w:color w:val="auto"/>
        </w:rPr>
        <w:t>信创与国产化标准：遵循国家及行业信创产品适配标准、国产软硬件兼容性规范，确保 TDC 5.1/TDH 9.3/ArgoDB 6.2 等国产架构组件与信创环境无缝适配，符合国产化替代的技术要求。</w:t>
      </w:r>
    </w:p>
    <w:p w14:paraId="5E690648">
      <w:pPr>
        <w:ind w:firstLine="420"/>
        <w:jc w:val="both"/>
        <w:rPr>
          <w:rFonts w:hint="eastAsia"/>
          <w:color w:val="auto"/>
        </w:rPr>
      </w:pPr>
      <w:r>
        <w:rPr>
          <w:rFonts w:hint="eastAsia"/>
          <w:color w:val="auto"/>
        </w:rPr>
        <w:t>架构与组件技术规范：依据星环科技相关技术文档，参考 ArgoDB 6.x 系列（含 6.2 版本）的 HTAP 混合事务分析处理能力、实时数据同步、安全认证等技术规范，以及 TDC、TDH 系列版本升级的技术要求，确保架构迁移的可行性、兼容性和性能稳定性，充分发挥新一代架构的技术优势（如 ArgoDB 的实时数据处理、湖仓集一体架构等）。</w:t>
      </w:r>
    </w:p>
    <w:p w14:paraId="7E22DDAE">
      <w:pPr>
        <w:pStyle w:val="5"/>
        <w:rPr>
          <w:rFonts w:hint="eastAsia"/>
          <w:color w:val="auto"/>
        </w:rPr>
      </w:pPr>
      <w:r>
        <w:rPr>
          <w:rFonts w:hint="eastAsia"/>
          <w:color w:val="auto"/>
        </w:rPr>
        <w:t>现有系统与业务需求依据</w:t>
      </w:r>
    </w:p>
    <w:p w14:paraId="1A9F6123">
      <w:pPr>
        <w:ind w:firstLine="420"/>
        <w:jc w:val="both"/>
        <w:rPr>
          <w:rFonts w:hint="eastAsia"/>
          <w:color w:val="auto"/>
        </w:rPr>
      </w:pPr>
      <w:r>
        <w:rPr>
          <w:rFonts w:hint="eastAsia"/>
          <w:color w:val="auto"/>
        </w:rPr>
        <w:t>现有系统现状依据：基于浦东新区大数据平台现有 TDC 2.3/TDH 6.2/Inceptor 架构的运行现状、组件配置、数据资源、业务接口规范，明确升级改造的痛点（如性能瓶颈、信创适配不足等），确保升级方案贴合现有系统实际，实现与已有系统的无缝衔接、平滑过渡。</w:t>
      </w:r>
    </w:p>
    <w:p w14:paraId="6F5E382E">
      <w:pPr>
        <w:ind w:firstLine="420"/>
        <w:jc w:val="both"/>
        <w:rPr>
          <w:rFonts w:hint="eastAsia"/>
          <w:color w:val="auto"/>
        </w:rPr>
      </w:pPr>
      <w:r>
        <w:rPr>
          <w:rFonts w:hint="eastAsia"/>
          <w:color w:val="auto"/>
        </w:rPr>
        <w:t>政务业务需求依据：结合浦东新区政务数字化转型对数据底座的核心需求，包括海量政务数据的高效采集、存储、计算、分析能力，跨部门数据协同共享需求，以及业务连续运行、安全可控的刚性要求，确定平台升级的性能、安全、扩展能力指标，确保升级后平台能够支撑政务业务规模化、多元化发展。</w:t>
      </w:r>
    </w:p>
    <w:p w14:paraId="0C9E2CF5">
      <w:pPr>
        <w:pStyle w:val="5"/>
        <w:rPr>
          <w:rFonts w:hint="eastAsia"/>
          <w:color w:val="auto"/>
        </w:rPr>
      </w:pPr>
      <w:r>
        <w:rPr>
          <w:rFonts w:hint="eastAsia"/>
          <w:color w:val="auto"/>
        </w:rPr>
        <w:t>安全与合规实操依据</w:t>
      </w:r>
    </w:p>
    <w:p w14:paraId="2B2F6A61">
      <w:pPr>
        <w:ind w:firstLine="420"/>
        <w:jc w:val="both"/>
        <w:rPr>
          <w:rFonts w:hint="eastAsia"/>
          <w:color w:val="auto"/>
        </w:rPr>
      </w:pPr>
      <w:r>
        <w:rPr>
          <w:rFonts w:hint="eastAsia"/>
          <w:color w:val="auto"/>
        </w:rPr>
        <w:t>遵循《网络数据安全管理条例》中关于网络数据安全防护、数据生命周期管理、安全事件处置的具体要求，结合政务数据敏感特性，参考数据分类分级保护、敏感数据脱敏、全流程安全审计等合规实操规范，确保平台升级后的数据采集、存储、传输、处理等全流程符合安全合规要求，保障政务数据资产安全。</w:t>
      </w:r>
    </w:p>
    <w:p w14:paraId="5510C7A1">
      <w:pPr>
        <w:pStyle w:val="4"/>
        <w:rPr>
          <w:rFonts w:hint="eastAsia"/>
          <w:color w:val="auto"/>
        </w:rPr>
      </w:pPr>
      <w:bookmarkStart w:id="46" w:name="_Toc230106864"/>
      <w:r>
        <w:rPr>
          <w:rFonts w:hint="eastAsia"/>
          <w:color w:val="auto"/>
        </w:rPr>
        <w:t>技术路线</w:t>
      </w:r>
      <w:bookmarkEnd w:id="46"/>
    </w:p>
    <w:p w14:paraId="7FC754C2">
      <w:pPr>
        <w:pStyle w:val="42"/>
        <w:jc w:val="both"/>
        <w:rPr>
          <w:rFonts w:hint="eastAsia"/>
          <w:color w:val="auto"/>
        </w:rPr>
      </w:pPr>
      <w:r>
        <w:rPr>
          <w:color w:val="auto"/>
          <w:szCs w:val="22"/>
        </w:rPr>
        <w:t>本次升级改造采用旁路新建 + 双轨并行 + 灰度切换的总体迁移策略，全程保障业务连续性。</w:t>
      </w:r>
    </w:p>
    <w:p w14:paraId="1D0B9E8C">
      <w:pPr>
        <w:pStyle w:val="4"/>
        <w:rPr>
          <w:rFonts w:hint="eastAsia"/>
          <w:color w:val="auto"/>
        </w:rPr>
      </w:pPr>
      <w:bookmarkStart w:id="47" w:name="_Toc230106865"/>
      <w:r>
        <w:rPr>
          <w:rFonts w:hint="eastAsia"/>
          <w:color w:val="auto"/>
        </w:rPr>
        <w:t>关键技术</w:t>
      </w:r>
      <w:bookmarkEnd w:id="47"/>
    </w:p>
    <w:p w14:paraId="61CE354D">
      <w:pPr>
        <w:pStyle w:val="42"/>
        <w:jc w:val="both"/>
        <w:rPr>
          <w:rFonts w:hint="eastAsia"/>
          <w:color w:val="auto"/>
        </w:rPr>
      </w:pPr>
      <w:r>
        <w:rPr>
          <w:color w:val="auto"/>
          <w:szCs w:val="22"/>
        </w:rPr>
        <w:t>以下为本次升级改造的关键路径节点，任何关键节点延期都将影响整体进度，需重点管控：</w:t>
      </w:r>
    </w:p>
    <w:p w14:paraId="3EDFC003">
      <w:pPr>
        <w:pStyle w:val="35"/>
        <w:widowControl/>
        <w:numPr>
          <w:ilvl w:val="0"/>
          <w:numId w:val="6"/>
        </w:numPr>
        <w:ind w:left="840" w:hanging="420"/>
        <w:contextualSpacing w:val="0"/>
        <w:rPr>
          <w:rFonts w:hint="eastAsia"/>
          <w:color w:val="auto"/>
        </w:rPr>
      </w:pPr>
      <w:r>
        <w:rPr>
          <w:rFonts w:ascii="仿宋" w:hAnsi="仿宋" w:cs="仿宋"/>
          <w:color w:val="auto"/>
          <w:szCs w:val="22"/>
        </w:rPr>
        <w:t>ARM节点采购到货及操作系统安装（影响第一阶段启动时间）</w:t>
      </w:r>
    </w:p>
    <w:p w14:paraId="28D6024A">
      <w:pPr>
        <w:pStyle w:val="35"/>
        <w:widowControl/>
        <w:numPr>
          <w:ilvl w:val="0"/>
          <w:numId w:val="6"/>
        </w:numPr>
        <w:ind w:left="840" w:hanging="420"/>
        <w:contextualSpacing w:val="0"/>
        <w:rPr>
          <w:rFonts w:hint="eastAsia"/>
          <w:color w:val="auto"/>
        </w:rPr>
      </w:pPr>
      <w:r>
        <w:rPr>
          <w:rFonts w:ascii="仿宋" w:hAnsi="仿宋" w:cs="仿宋"/>
          <w:color w:val="auto"/>
          <w:szCs w:val="22"/>
        </w:rPr>
        <w:t>TDH 9.3 + ArgoDB 6.2新集群部署完成（影响数据同步通道建立时间）</w:t>
      </w:r>
    </w:p>
    <w:p w14:paraId="3522AA7F">
      <w:pPr>
        <w:pStyle w:val="35"/>
        <w:widowControl/>
        <w:numPr>
          <w:ilvl w:val="0"/>
          <w:numId w:val="6"/>
        </w:numPr>
        <w:ind w:left="840" w:hanging="420"/>
        <w:contextualSpacing w:val="0"/>
        <w:rPr>
          <w:rFonts w:hint="eastAsia"/>
          <w:color w:val="auto"/>
        </w:rPr>
      </w:pPr>
      <w:r>
        <w:rPr>
          <w:rFonts w:ascii="仿宋" w:hAnsi="仿宋" w:cs="仿宋"/>
          <w:color w:val="auto"/>
          <w:szCs w:val="22"/>
        </w:rPr>
        <w:t>全量数据迁移完成（影响灰度切换启动时间）</w:t>
      </w:r>
    </w:p>
    <w:p w14:paraId="0DF3AD45">
      <w:pPr>
        <w:pStyle w:val="35"/>
        <w:widowControl/>
        <w:numPr>
          <w:ilvl w:val="0"/>
          <w:numId w:val="6"/>
        </w:numPr>
        <w:ind w:left="840" w:hanging="420"/>
        <w:contextualSpacing w:val="0"/>
        <w:rPr>
          <w:rFonts w:hint="eastAsia"/>
          <w:color w:val="auto"/>
        </w:rPr>
      </w:pPr>
      <w:r>
        <w:rPr>
          <w:rFonts w:ascii="仿宋" w:hAnsi="仿宋" w:cs="仿宋"/>
          <w:color w:val="auto"/>
          <w:szCs w:val="22"/>
        </w:rPr>
        <w:t>核心业务验证通过（影响生产流量切换时间）</w:t>
      </w:r>
    </w:p>
    <w:p w14:paraId="584AEF74">
      <w:pPr>
        <w:pStyle w:val="35"/>
        <w:widowControl/>
        <w:numPr>
          <w:ilvl w:val="0"/>
          <w:numId w:val="6"/>
        </w:numPr>
        <w:ind w:left="840" w:hanging="420"/>
        <w:contextualSpacing w:val="0"/>
        <w:rPr>
          <w:rFonts w:hint="eastAsia"/>
          <w:color w:val="auto"/>
        </w:rPr>
      </w:pPr>
      <w:r>
        <w:rPr>
          <w:rFonts w:ascii="仿宋" w:hAnsi="仿宋" w:cs="仿宋"/>
          <w:color w:val="auto"/>
          <w:szCs w:val="22"/>
        </w:rPr>
        <w:t>重大活动前完成全量切换（需提前锁定时间窗口）</w:t>
      </w:r>
    </w:p>
    <w:p w14:paraId="4DD1289B">
      <w:pPr>
        <w:pStyle w:val="4"/>
        <w:rPr>
          <w:rFonts w:hint="eastAsia"/>
          <w:color w:val="auto"/>
        </w:rPr>
      </w:pPr>
      <w:bookmarkStart w:id="48" w:name="_Toc230106866"/>
      <w:r>
        <w:rPr>
          <w:rFonts w:hint="eastAsia"/>
          <w:color w:val="auto"/>
        </w:rPr>
        <w:t>性能设计</w:t>
      </w:r>
      <w:bookmarkEnd w:id="48"/>
    </w:p>
    <w:p w14:paraId="6C0F98A0">
      <w:pPr>
        <w:pStyle w:val="42"/>
        <w:ind w:firstLine="420"/>
        <w:jc w:val="both"/>
        <w:rPr>
          <w:rFonts w:hint="eastAsia"/>
          <w:color w:val="auto"/>
        </w:rPr>
      </w:pPr>
      <w:r>
        <w:rPr>
          <w:color w:val="auto"/>
        </w:rPr>
        <w:t>基于真实测试数据，平台升级改造后，预期在以下性能指标方面取得显著提升：</w:t>
      </w:r>
    </w:p>
    <w:tbl>
      <w:tblPr>
        <w:tblStyle w:val="1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5ED573C8">
        <w:tc>
          <w:tcPr>
            <w:tcW w:w="2340" w:type="dxa"/>
          </w:tcPr>
          <w:p w14:paraId="2D5F158E">
            <w:pPr>
              <w:pStyle w:val="43"/>
              <w:jc w:val="center"/>
              <w:rPr>
                <w:rFonts w:ascii="仿宋" w:hAnsi="仿宋" w:eastAsia="仿宋"/>
                <w:b/>
                <w:color w:val="auto"/>
                <w:sz w:val="24"/>
              </w:rPr>
            </w:pPr>
            <w:r>
              <w:rPr>
                <w:rFonts w:ascii="仿宋" w:hAnsi="仿宋" w:eastAsia="仿宋"/>
                <w:b/>
                <w:color w:val="auto"/>
                <w:sz w:val="24"/>
              </w:rPr>
              <w:t>收益项目</w:t>
            </w:r>
          </w:p>
        </w:tc>
        <w:tc>
          <w:tcPr>
            <w:tcW w:w="2340" w:type="dxa"/>
          </w:tcPr>
          <w:p w14:paraId="33CAC3ED">
            <w:pPr>
              <w:pStyle w:val="43"/>
              <w:jc w:val="center"/>
              <w:rPr>
                <w:rFonts w:ascii="仿宋" w:hAnsi="仿宋" w:eastAsia="仿宋"/>
                <w:b/>
                <w:color w:val="auto"/>
                <w:sz w:val="24"/>
              </w:rPr>
            </w:pPr>
            <w:r>
              <w:rPr>
                <w:rFonts w:ascii="仿宋" w:hAnsi="仿宋" w:eastAsia="仿宋"/>
                <w:b/>
                <w:color w:val="auto"/>
                <w:sz w:val="24"/>
              </w:rPr>
              <w:t>当前状态</w:t>
            </w:r>
          </w:p>
        </w:tc>
        <w:tc>
          <w:tcPr>
            <w:tcW w:w="2340" w:type="dxa"/>
          </w:tcPr>
          <w:p w14:paraId="04CB1EB0">
            <w:pPr>
              <w:pStyle w:val="43"/>
              <w:jc w:val="center"/>
              <w:rPr>
                <w:rFonts w:ascii="仿宋" w:hAnsi="仿宋" w:eastAsia="仿宋"/>
                <w:b/>
                <w:color w:val="auto"/>
                <w:sz w:val="24"/>
              </w:rPr>
            </w:pPr>
            <w:r>
              <w:rPr>
                <w:rFonts w:ascii="仿宋" w:hAnsi="仿宋" w:eastAsia="仿宋"/>
                <w:b/>
                <w:color w:val="auto"/>
                <w:sz w:val="24"/>
              </w:rPr>
              <w:t>升级后预期</w:t>
            </w:r>
          </w:p>
        </w:tc>
        <w:tc>
          <w:tcPr>
            <w:tcW w:w="2340" w:type="dxa"/>
          </w:tcPr>
          <w:p w14:paraId="7F64F344">
            <w:pPr>
              <w:pStyle w:val="43"/>
              <w:jc w:val="center"/>
              <w:rPr>
                <w:rFonts w:ascii="仿宋" w:hAnsi="仿宋" w:eastAsia="仿宋"/>
                <w:b/>
                <w:color w:val="auto"/>
                <w:sz w:val="24"/>
              </w:rPr>
            </w:pPr>
            <w:r>
              <w:rPr>
                <w:rFonts w:ascii="仿宋" w:hAnsi="仿宋" w:eastAsia="仿宋"/>
                <w:b/>
                <w:color w:val="auto"/>
                <w:sz w:val="24"/>
              </w:rPr>
              <w:t>提升幅度</w:t>
            </w:r>
          </w:p>
        </w:tc>
      </w:tr>
      <w:tr w14:paraId="46C1F6EE">
        <w:tc>
          <w:tcPr>
            <w:tcW w:w="2340" w:type="dxa"/>
          </w:tcPr>
          <w:p w14:paraId="3DC7B811">
            <w:pPr>
              <w:pStyle w:val="43"/>
              <w:rPr>
                <w:rFonts w:ascii="仿宋" w:hAnsi="仿宋" w:eastAsia="仿宋"/>
                <w:color w:val="auto"/>
                <w:sz w:val="24"/>
              </w:rPr>
            </w:pPr>
            <w:r>
              <w:rPr>
                <w:rFonts w:ascii="仿宋" w:hAnsi="仿宋" w:eastAsia="仿宋"/>
                <w:color w:val="auto"/>
                <w:sz w:val="24"/>
              </w:rPr>
              <w:t>SQL平均查询性能</w:t>
            </w:r>
          </w:p>
        </w:tc>
        <w:tc>
          <w:tcPr>
            <w:tcW w:w="2340" w:type="dxa"/>
          </w:tcPr>
          <w:p w14:paraId="31ED3A0B">
            <w:pPr>
              <w:pStyle w:val="43"/>
              <w:rPr>
                <w:rFonts w:ascii="仿宋" w:hAnsi="仿宋" w:eastAsia="仿宋"/>
                <w:color w:val="auto"/>
                <w:sz w:val="24"/>
              </w:rPr>
            </w:pPr>
            <w:r>
              <w:rPr>
                <w:rFonts w:ascii="仿宋" w:hAnsi="仿宋" w:eastAsia="仿宋"/>
                <w:color w:val="auto"/>
                <w:sz w:val="24"/>
              </w:rPr>
              <w:t>基准值</w:t>
            </w:r>
          </w:p>
        </w:tc>
        <w:tc>
          <w:tcPr>
            <w:tcW w:w="2340" w:type="dxa"/>
          </w:tcPr>
          <w:p w14:paraId="74D897FA">
            <w:pPr>
              <w:pStyle w:val="43"/>
              <w:rPr>
                <w:rFonts w:ascii="仿宋" w:hAnsi="仿宋" w:eastAsia="仿宋"/>
                <w:color w:val="auto"/>
                <w:sz w:val="24"/>
              </w:rPr>
            </w:pPr>
            <w:r>
              <w:rPr>
                <w:rFonts w:ascii="仿宋" w:hAnsi="仿宋" w:eastAsia="仿宋"/>
                <w:color w:val="auto"/>
                <w:sz w:val="24"/>
              </w:rPr>
              <w:t>提升约2.29倍</w:t>
            </w:r>
          </w:p>
        </w:tc>
        <w:tc>
          <w:tcPr>
            <w:tcW w:w="2340" w:type="dxa"/>
          </w:tcPr>
          <w:p w14:paraId="344B45CF">
            <w:pPr>
              <w:pStyle w:val="43"/>
              <w:rPr>
                <w:rFonts w:ascii="仿宋" w:hAnsi="仿宋" w:eastAsia="仿宋"/>
                <w:color w:val="auto"/>
                <w:sz w:val="24"/>
              </w:rPr>
            </w:pPr>
            <w:r>
              <w:rPr>
                <w:rFonts w:ascii="仿宋" w:hAnsi="仿宋" w:eastAsia="仿宋"/>
                <w:bCs/>
                <w:color w:val="auto"/>
                <w:sz w:val="24"/>
              </w:rPr>
              <w:t>↑ 129%</w:t>
            </w:r>
          </w:p>
        </w:tc>
      </w:tr>
      <w:tr w14:paraId="00BA91A9">
        <w:tc>
          <w:tcPr>
            <w:tcW w:w="2340" w:type="dxa"/>
          </w:tcPr>
          <w:p w14:paraId="1A2AF569">
            <w:pPr>
              <w:pStyle w:val="43"/>
              <w:rPr>
                <w:rFonts w:ascii="仿宋" w:hAnsi="仿宋" w:eastAsia="仿宋"/>
                <w:color w:val="auto"/>
                <w:sz w:val="24"/>
              </w:rPr>
            </w:pPr>
            <w:r>
              <w:rPr>
                <w:rFonts w:ascii="仿宋" w:hAnsi="仿宋" w:eastAsia="仿宋"/>
                <w:color w:val="auto"/>
                <w:sz w:val="24"/>
              </w:rPr>
              <w:t>夜间跑批总耗时</w:t>
            </w:r>
          </w:p>
        </w:tc>
        <w:tc>
          <w:tcPr>
            <w:tcW w:w="2340" w:type="dxa"/>
          </w:tcPr>
          <w:p w14:paraId="7D1574AA">
            <w:pPr>
              <w:pStyle w:val="43"/>
              <w:rPr>
                <w:rFonts w:ascii="仿宋" w:hAnsi="仿宋" w:eastAsia="仿宋"/>
                <w:color w:val="auto"/>
                <w:sz w:val="24"/>
              </w:rPr>
            </w:pPr>
            <w:r>
              <w:rPr>
                <w:rFonts w:ascii="仿宋" w:hAnsi="仿宋" w:eastAsia="仿宋"/>
                <w:color w:val="auto"/>
                <w:sz w:val="24"/>
              </w:rPr>
              <w:t>约8小时</w:t>
            </w:r>
          </w:p>
        </w:tc>
        <w:tc>
          <w:tcPr>
            <w:tcW w:w="2340" w:type="dxa"/>
          </w:tcPr>
          <w:p w14:paraId="3B298E73">
            <w:pPr>
              <w:pStyle w:val="43"/>
              <w:rPr>
                <w:rFonts w:ascii="仿宋" w:hAnsi="仿宋" w:eastAsia="仿宋"/>
                <w:color w:val="auto"/>
                <w:sz w:val="24"/>
              </w:rPr>
            </w:pPr>
            <w:r>
              <w:rPr>
                <w:rFonts w:ascii="仿宋" w:hAnsi="仿宋" w:eastAsia="仿宋"/>
                <w:color w:val="auto"/>
                <w:sz w:val="24"/>
              </w:rPr>
              <w:t>约3小时</w:t>
            </w:r>
          </w:p>
        </w:tc>
        <w:tc>
          <w:tcPr>
            <w:tcW w:w="2340" w:type="dxa"/>
          </w:tcPr>
          <w:p w14:paraId="444AB2CF">
            <w:pPr>
              <w:pStyle w:val="43"/>
              <w:rPr>
                <w:rFonts w:ascii="仿宋" w:hAnsi="仿宋" w:eastAsia="仿宋"/>
                <w:color w:val="auto"/>
                <w:sz w:val="24"/>
              </w:rPr>
            </w:pPr>
            <w:r>
              <w:rPr>
                <w:rFonts w:ascii="仿宋" w:hAnsi="仿宋" w:eastAsia="仿宋"/>
                <w:color w:val="auto"/>
                <w:sz w:val="24"/>
              </w:rPr>
              <w:t>↓ 62.5%</w:t>
            </w:r>
          </w:p>
        </w:tc>
      </w:tr>
      <w:tr w14:paraId="5AA4B7C2">
        <w:tc>
          <w:tcPr>
            <w:tcW w:w="2340" w:type="dxa"/>
          </w:tcPr>
          <w:p w14:paraId="1072A76F">
            <w:pPr>
              <w:pStyle w:val="43"/>
              <w:rPr>
                <w:rFonts w:ascii="仿宋" w:hAnsi="仿宋" w:eastAsia="仿宋"/>
                <w:color w:val="auto"/>
                <w:sz w:val="24"/>
              </w:rPr>
            </w:pPr>
            <w:r>
              <w:rPr>
                <w:rFonts w:ascii="仿宋" w:hAnsi="仿宋" w:eastAsia="仿宋"/>
                <w:color w:val="auto"/>
                <w:sz w:val="24"/>
              </w:rPr>
              <w:t>CPU资源消耗</w:t>
            </w:r>
          </w:p>
        </w:tc>
        <w:tc>
          <w:tcPr>
            <w:tcW w:w="2340" w:type="dxa"/>
          </w:tcPr>
          <w:p w14:paraId="198E1928">
            <w:pPr>
              <w:pStyle w:val="43"/>
              <w:rPr>
                <w:rFonts w:ascii="仿宋" w:hAnsi="仿宋" w:eastAsia="仿宋"/>
                <w:color w:val="auto"/>
                <w:sz w:val="24"/>
              </w:rPr>
            </w:pPr>
            <w:r>
              <w:rPr>
                <w:rFonts w:ascii="仿宋" w:hAnsi="仿宋" w:eastAsia="仿宋"/>
                <w:color w:val="auto"/>
                <w:sz w:val="24"/>
              </w:rPr>
              <w:t>基准值</w:t>
            </w:r>
          </w:p>
        </w:tc>
        <w:tc>
          <w:tcPr>
            <w:tcW w:w="2340" w:type="dxa"/>
          </w:tcPr>
          <w:p w14:paraId="7B67CB9D">
            <w:pPr>
              <w:pStyle w:val="43"/>
              <w:rPr>
                <w:rFonts w:ascii="仿宋" w:hAnsi="仿宋" w:eastAsia="仿宋"/>
                <w:color w:val="auto"/>
                <w:sz w:val="24"/>
              </w:rPr>
            </w:pPr>
            <w:r>
              <w:rPr>
                <w:rFonts w:ascii="仿宋" w:hAnsi="仿宋" w:eastAsia="仿宋"/>
                <w:color w:val="auto"/>
                <w:sz w:val="24"/>
              </w:rPr>
              <w:t>下降约70%</w:t>
            </w:r>
          </w:p>
        </w:tc>
        <w:tc>
          <w:tcPr>
            <w:tcW w:w="2340" w:type="dxa"/>
          </w:tcPr>
          <w:p w14:paraId="57FB3172">
            <w:pPr>
              <w:pStyle w:val="43"/>
              <w:rPr>
                <w:rFonts w:ascii="仿宋" w:hAnsi="仿宋" w:eastAsia="仿宋"/>
                <w:color w:val="auto"/>
                <w:sz w:val="24"/>
              </w:rPr>
            </w:pPr>
            <w:r>
              <w:rPr>
                <w:rFonts w:ascii="仿宋" w:hAnsi="仿宋" w:eastAsia="仿宋"/>
                <w:color w:val="auto"/>
                <w:sz w:val="24"/>
              </w:rPr>
              <w:t>↓ 70%</w:t>
            </w:r>
          </w:p>
        </w:tc>
      </w:tr>
      <w:tr w14:paraId="2D9AC026">
        <w:tc>
          <w:tcPr>
            <w:tcW w:w="2340" w:type="dxa"/>
          </w:tcPr>
          <w:p w14:paraId="7C2A630B">
            <w:pPr>
              <w:pStyle w:val="43"/>
              <w:rPr>
                <w:rFonts w:ascii="仿宋" w:hAnsi="仿宋" w:eastAsia="仿宋"/>
                <w:color w:val="auto"/>
                <w:sz w:val="24"/>
              </w:rPr>
            </w:pPr>
            <w:r>
              <w:rPr>
                <w:rFonts w:ascii="仿宋" w:hAnsi="仿宋" w:eastAsia="仿宋"/>
                <w:color w:val="auto"/>
                <w:sz w:val="24"/>
              </w:rPr>
              <w:t>实时分析延迟</w:t>
            </w:r>
          </w:p>
        </w:tc>
        <w:tc>
          <w:tcPr>
            <w:tcW w:w="2340" w:type="dxa"/>
          </w:tcPr>
          <w:p w14:paraId="01268779">
            <w:pPr>
              <w:pStyle w:val="43"/>
              <w:rPr>
                <w:rFonts w:ascii="仿宋" w:hAnsi="仿宋" w:eastAsia="仿宋"/>
                <w:color w:val="auto"/>
                <w:sz w:val="24"/>
              </w:rPr>
            </w:pPr>
            <w:r>
              <w:rPr>
                <w:rFonts w:ascii="仿宋" w:hAnsi="仿宋" w:eastAsia="仿宋"/>
                <w:color w:val="auto"/>
                <w:sz w:val="24"/>
              </w:rPr>
              <w:t>分钟级</w:t>
            </w:r>
          </w:p>
        </w:tc>
        <w:tc>
          <w:tcPr>
            <w:tcW w:w="2340" w:type="dxa"/>
          </w:tcPr>
          <w:p w14:paraId="3E27E4C7">
            <w:pPr>
              <w:pStyle w:val="43"/>
              <w:rPr>
                <w:rFonts w:ascii="仿宋" w:hAnsi="仿宋" w:eastAsia="仿宋"/>
                <w:color w:val="auto"/>
                <w:sz w:val="24"/>
              </w:rPr>
            </w:pPr>
            <w:r>
              <w:rPr>
                <w:rFonts w:ascii="仿宋" w:hAnsi="仿宋" w:eastAsia="仿宋"/>
                <w:color w:val="auto"/>
                <w:sz w:val="24"/>
              </w:rPr>
              <w:t>秒级</w:t>
            </w:r>
          </w:p>
        </w:tc>
        <w:tc>
          <w:tcPr>
            <w:tcW w:w="2340" w:type="dxa"/>
          </w:tcPr>
          <w:p w14:paraId="1B808C80">
            <w:pPr>
              <w:pStyle w:val="43"/>
              <w:rPr>
                <w:rFonts w:ascii="仿宋" w:hAnsi="仿宋" w:eastAsia="仿宋"/>
                <w:color w:val="auto"/>
                <w:sz w:val="24"/>
              </w:rPr>
            </w:pPr>
            <w:r>
              <w:rPr>
                <w:rFonts w:ascii="仿宋" w:hAnsi="仿宋" w:eastAsia="仿宋"/>
                <w:color w:val="auto"/>
                <w:sz w:val="24"/>
              </w:rPr>
              <w:t>质的飞跃</w:t>
            </w:r>
          </w:p>
        </w:tc>
      </w:tr>
      <w:tr w14:paraId="06A30F61">
        <w:tc>
          <w:tcPr>
            <w:tcW w:w="2340" w:type="dxa"/>
          </w:tcPr>
          <w:p w14:paraId="24CA4DBE">
            <w:pPr>
              <w:pStyle w:val="43"/>
              <w:rPr>
                <w:rFonts w:ascii="仿宋" w:hAnsi="仿宋" w:eastAsia="仿宋"/>
                <w:color w:val="auto"/>
                <w:sz w:val="24"/>
              </w:rPr>
            </w:pPr>
            <w:r>
              <w:rPr>
                <w:rFonts w:ascii="仿宋" w:hAnsi="仿宋" w:eastAsia="仿宋"/>
                <w:color w:val="auto"/>
                <w:sz w:val="24"/>
              </w:rPr>
              <w:t>并发处理能力</w:t>
            </w:r>
          </w:p>
        </w:tc>
        <w:tc>
          <w:tcPr>
            <w:tcW w:w="2340" w:type="dxa"/>
          </w:tcPr>
          <w:p w14:paraId="001546FF">
            <w:pPr>
              <w:pStyle w:val="43"/>
              <w:rPr>
                <w:rFonts w:ascii="仿宋" w:hAnsi="仿宋" w:eastAsia="仿宋"/>
                <w:color w:val="auto"/>
                <w:sz w:val="24"/>
              </w:rPr>
            </w:pPr>
            <w:r>
              <w:rPr>
                <w:rFonts w:ascii="仿宋" w:hAnsi="仿宋" w:eastAsia="仿宋"/>
                <w:color w:val="auto"/>
                <w:sz w:val="24"/>
              </w:rPr>
              <w:t>有限</w:t>
            </w:r>
          </w:p>
        </w:tc>
        <w:tc>
          <w:tcPr>
            <w:tcW w:w="2340" w:type="dxa"/>
          </w:tcPr>
          <w:p w14:paraId="4B51575D">
            <w:pPr>
              <w:pStyle w:val="43"/>
              <w:rPr>
                <w:rFonts w:ascii="仿宋" w:hAnsi="仿宋" w:eastAsia="仿宋"/>
                <w:color w:val="auto"/>
                <w:sz w:val="24"/>
              </w:rPr>
            </w:pPr>
            <w:r>
              <w:rPr>
                <w:rFonts w:ascii="仿宋" w:hAnsi="仿宋" w:eastAsia="仿宋"/>
                <w:color w:val="auto"/>
                <w:sz w:val="24"/>
              </w:rPr>
              <w:t>大幅提升</w:t>
            </w:r>
          </w:p>
        </w:tc>
        <w:tc>
          <w:tcPr>
            <w:tcW w:w="2340" w:type="dxa"/>
          </w:tcPr>
          <w:p w14:paraId="0A916381">
            <w:pPr>
              <w:pStyle w:val="43"/>
              <w:rPr>
                <w:rFonts w:ascii="仿宋" w:hAnsi="仿宋" w:eastAsia="仿宋"/>
                <w:color w:val="auto"/>
                <w:sz w:val="24"/>
              </w:rPr>
            </w:pPr>
            <w:r>
              <w:rPr>
                <w:rFonts w:ascii="仿宋" w:hAnsi="仿宋" w:eastAsia="仿宋"/>
                <w:color w:val="auto"/>
                <w:sz w:val="24"/>
              </w:rPr>
              <w:t>显著提升</w:t>
            </w:r>
          </w:p>
        </w:tc>
      </w:tr>
      <w:tr w14:paraId="5F642A86">
        <w:tc>
          <w:tcPr>
            <w:tcW w:w="2340" w:type="dxa"/>
          </w:tcPr>
          <w:p w14:paraId="3891A29A">
            <w:pPr>
              <w:pStyle w:val="43"/>
              <w:rPr>
                <w:rFonts w:ascii="仿宋" w:hAnsi="仿宋" w:eastAsia="仿宋"/>
                <w:color w:val="auto"/>
                <w:sz w:val="24"/>
              </w:rPr>
            </w:pPr>
            <w:r>
              <w:rPr>
                <w:rFonts w:ascii="仿宋" w:hAnsi="仿宋" w:eastAsia="仿宋"/>
                <w:color w:val="auto"/>
                <w:sz w:val="24"/>
              </w:rPr>
              <w:t>存储利用效率</w:t>
            </w:r>
          </w:p>
        </w:tc>
        <w:tc>
          <w:tcPr>
            <w:tcW w:w="2340" w:type="dxa"/>
          </w:tcPr>
          <w:p w14:paraId="4617C7C9">
            <w:pPr>
              <w:pStyle w:val="43"/>
              <w:rPr>
                <w:rFonts w:ascii="仿宋" w:hAnsi="仿宋" w:eastAsia="仿宋"/>
                <w:color w:val="auto"/>
                <w:sz w:val="24"/>
              </w:rPr>
            </w:pPr>
            <w:r>
              <w:rPr>
                <w:rFonts w:ascii="仿宋" w:hAnsi="仿宋" w:eastAsia="仿宋"/>
                <w:color w:val="auto"/>
                <w:sz w:val="24"/>
              </w:rPr>
              <w:t>较低</w:t>
            </w:r>
          </w:p>
        </w:tc>
        <w:tc>
          <w:tcPr>
            <w:tcW w:w="2340" w:type="dxa"/>
          </w:tcPr>
          <w:p w14:paraId="19583BB2">
            <w:pPr>
              <w:pStyle w:val="43"/>
              <w:rPr>
                <w:rFonts w:ascii="仿宋" w:hAnsi="仿宋" w:eastAsia="仿宋"/>
                <w:color w:val="auto"/>
                <w:sz w:val="24"/>
              </w:rPr>
            </w:pPr>
            <w:r>
              <w:rPr>
                <w:rFonts w:ascii="仿宋" w:hAnsi="仿宋" w:eastAsia="仿宋"/>
                <w:color w:val="auto"/>
                <w:sz w:val="24"/>
              </w:rPr>
              <w:t>明显提升</w:t>
            </w:r>
          </w:p>
        </w:tc>
        <w:tc>
          <w:tcPr>
            <w:tcW w:w="2340" w:type="dxa"/>
          </w:tcPr>
          <w:p w14:paraId="68F6CEB0">
            <w:pPr>
              <w:pStyle w:val="43"/>
              <w:rPr>
                <w:rFonts w:ascii="仿宋" w:hAnsi="仿宋" w:eastAsia="仿宋"/>
                <w:color w:val="auto"/>
                <w:sz w:val="24"/>
              </w:rPr>
            </w:pPr>
            <w:r>
              <w:rPr>
                <w:rFonts w:ascii="仿宋" w:hAnsi="仿宋" w:eastAsia="仿宋"/>
                <w:color w:val="auto"/>
                <w:sz w:val="24"/>
              </w:rPr>
              <w:t>显著优化</w:t>
            </w:r>
          </w:p>
        </w:tc>
      </w:tr>
    </w:tbl>
    <w:p w14:paraId="20C048CC">
      <w:pPr>
        <w:pStyle w:val="4"/>
        <w:rPr>
          <w:rFonts w:hint="eastAsia"/>
          <w:color w:val="auto"/>
        </w:rPr>
      </w:pPr>
      <w:bookmarkStart w:id="49" w:name="_Toc230106867"/>
      <w:r>
        <w:rPr>
          <w:rFonts w:hint="eastAsia"/>
          <w:color w:val="auto"/>
        </w:rPr>
        <w:t>安全设计</w:t>
      </w:r>
      <w:bookmarkEnd w:id="49"/>
    </w:p>
    <w:p w14:paraId="0BB58617">
      <w:pPr>
        <w:pStyle w:val="5"/>
        <w:rPr>
          <w:rFonts w:hint="eastAsia"/>
          <w:color w:val="auto"/>
        </w:rPr>
      </w:pPr>
      <w:r>
        <w:rPr>
          <w:color w:val="auto"/>
        </w:rPr>
        <w:t>数据透明加密</w:t>
      </w:r>
    </w:p>
    <w:p w14:paraId="4DE5DAE0">
      <w:pPr>
        <w:pStyle w:val="42"/>
        <w:jc w:val="both"/>
        <w:rPr>
          <w:rFonts w:hint="eastAsia"/>
          <w:color w:val="auto"/>
        </w:rPr>
      </w:pPr>
      <w:r>
        <w:rPr>
          <w:color w:val="auto"/>
          <w:szCs w:val="22"/>
        </w:rPr>
        <w:t>数据透明加密（Transparent Data Encryption, TDE）是本次安全能力建设的核心内容，要求对大数据平台存储的敏感政务数据进行静态加密保护，且对上层应用透明，无需修改任何业务代码。</w:t>
      </w:r>
    </w:p>
    <w:p w14:paraId="060A97E6">
      <w:pPr>
        <w:pStyle w:val="6"/>
        <w:rPr>
          <w:rFonts w:hint="eastAsia"/>
          <w:color w:val="auto"/>
        </w:rPr>
      </w:pPr>
      <w:r>
        <w:rPr>
          <w:color w:val="auto"/>
        </w:rPr>
        <w:t>加密算法选型</w:t>
      </w:r>
    </w:p>
    <w:p w14:paraId="5F7201D5">
      <w:pPr>
        <w:pStyle w:val="42"/>
        <w:jc w:val="both"/>
        <w:rPr>
          <w:rFonts w:hint="eastAsia"/>
          <w:color w:val="auto"/>
        </w:rPr>
      </w:pPr>
      <w:r>
        <w:rPr>
          <w:color w:val="auto"/>
          <w:szCs w:val="22"/>
        </w:rPr>
        <w:t>采用国家密码管理局认定的商用密码算法SM4作为数据加密算法（对称加密，128位密钥），满足密评中对国产密码算法的强制要求。传输层加密采用SM2/SM4组合（TLS 1.3 with SM套件），替代RSA/AES。</w:t>
      </w:r>
    </w:p>
    <w:p w14:paraId="33BD39D2">
      <w:pPr>
        <w:pStyle w:val="6"/>
        <w:rPr>
          <w:rFonts w:hint="eastAsia"/>
          <w:color w:val="auto"/>
        </w:rPr>
      </w:pPr>
      <w:r>
        <w:rPr>
          <w:color w:val="auto"/>
        </w:rPr>
        <w:t>加密范围</w:t>
      </w:r>
    </w:p>
    <w:p w14:paraId="7D600746">
      <w:pPr>
        <w:pStyle w:val="35"/>
        <w:widowControl/>
        <w:numPr>
          <w:ilvl w:val="0"/>
          <w:numId w:val="5"/>
        </w:numPr>
        <w:ind w:left="840" w:hanging="420"/>
        <w:contextualSpacing w:val="0"/>
        <w:rPr>
          <w:rFonts w:hint="eastAsia"/>
          <w:color w:val="auto"/>
        </w:rPr>
      </w:pPr>
      <w:r>
        <w:rPr>
          <w:rFonts w:ascii="仿宋" w:hAnsi="仿宋" w:cs="仿宋"/>
          <w:color w:val="auto"/>
          <w:szCs w:val="22"/>
        </w:rPr>
        <w:t>HDFS数据：启用HDFS Transparent Encryption（HDFS TDE），对指定加密区域的数据自动加密存储</w:t>
      </w:r>
    </w:p>
    <w:p w14:paraId="68040E66">
      <w:pPr>
        <w:pStyle w:val="35"/>
        <w:widowControl/>
        <w:numPr>
          <w:ilvl w:val="0"/>
          <w:numId w:val="5"/>
        </w:numPr>
        <w:ind w:left="840" w:hanging="420"/>
        <w:contextualSpacing w:val="0"/>
        <w:rPr>
          <w:rFonts w:hint="eastAsia"/>
          <w:color w:val="auto"/>
        </w:rPr>
      </w:pPr>
      <w:r>
        <w:rPr>
          <w:rFonts w:ascii="仿宋" w:hAnsi="仿宋" w:cs="仿宋"/>
          <w:color w:val="auto"/>
          <w:szCs w:val="22"/>
        </w:rPr>
        <w:t>ArgoDB数据：启用ArgoDB TDE功能，数据在写入磁盘前自动加密，读取时自动解密</w:t>
      </w:r>
    </w:p>
    <w:p w14:paraId="7EA95690">
      <w:pPr>
        <w:pStyle w:val="35"/>
        <w:widowControl/>
        <w:numPr>
          <w:ilvl w:val="0"/>
          <w:numId w:val="5"/>
        </w:numPr>
        <w:ind w:left="840" w:hanging="420"/>
        <w:contextualSpacing w:val="0"/>
        <w:rPr>
          <w:rFonts w:hint="eastAsia"/>
          <w:color w:val="auto"/>
        </w:rPr>
      </w:pPr>
      <w:r>
        <w:rPr>
          <w:rFonts w:ascii="仿宋" w:hAnsi="仿宋" w:cs="仿宋"/>
          <w:color w:val="auto"/>
          <w:szCs w:val="22"/>
        </w:rPr>
        <w:t>备份数据：所有备份数据加密后传输和存储</w:t>
      </w:r>
    </w:p>
    <w:p w14:paraId="416AC7A7">
      <w:pPr>
        <w:pStyle w:val="5"/>
        <w:rPr>
          <w:rFonts w:hint="eastAsia"/>
          <w:color w:val="auto"/>
        </w:rPr>
      </w:pPr>
      <w:r>
        <w:rPr>
          <w:color w:val="auto"/>
        </w:rPr>
        <w:t>KMS密钥管理</w:t>
      </w:r>
    </w:p>
    <w:p w14:paraId="387A1687">
      <w:pPr>
        <w:pStyle w:val="42"/>
        <w:jc w:val="both"/>
        <w:rPr>
          <w:rFonts w:hint="eastAsia"/>
          <w:color w:val="auto"/>
        </w:rPr>
      </w:pPr>
      <w:r>
        <w:rPr>
          <w:color w:val="auto"/>
          <w:szCs w:val="22"/>
        </w:rPr>
        <w:t>密钥管理系统（KMS）是透明加密体系的核心组件，统一管理所有数据加密密钥的生命周期：</w:t>
      </w:r>
    </w:p>
    <w:p w14:paraId="3EBF101C">
      <w:pPr>
        <w:pStyle w:val="35"/>
        <w:widowControl/>
        <w:numPr>
          <w:ilvl w:val="0"/>
          <w:numId w:val="5"/>
        </w:numPr>
        <w:ind w:left="840" w:hanging="420"/>
        <w:contextualSpacing w:val="0"/>
        <w:rPr>
          <w:rFonts w:hint="eastAsia"/>
          <w:color w:val="auto"/>
        </w:rPr>
      </w:pPr>
      <w:r>
        <w:rPr>
          <w:rFonts w:ascii="仿宋" w:hAnsi="仿宋" w:cs="仿宋"/>
          <w:color w:val="auto"/>
          <w:szCs w:val="22"/>
        </w:rPr>
        <w:t>部署国产商用KMS（支持SM2/SM3/SM4算法的KMS产品，通过国密认证）</w:t>
      </w:r>
    </w:p>
    <w:p w14:paraId="42D9DE8F">
      <w:pPr>
        <w:pStyle w:val="35"/>
        <w:widowControl/>
        <w:numPr>
          <w:ilvl w:val="0"/>
          <w:numId w:val="5"/>
        </w:numPr>
        <w:ind w:left="840" w:hanging="420"/>
        <w:contextualSpacing w:val="0"/>
        <w:rPr>
          <w:rFonts w:hint="eastAsia"/>
          <w:color w:val="auto"/>
        </w:rPr>
      </w:pPr>
      <w:r>
        <w:rPr>
          <w:rFonts w:ascii="仿宋" w:hAnsi="仿宋" w:cs="仿宋"/>
          <w:color w:val="auto"/>
          <w:szCs w:val="22"/>
        </w:rPr>
        <w:t>KMS与HDFS、ArgoDB、HBase的加密框架集成，实现密钥的集中管理</w:t>
      </w:r>
    </w:p>
    <w:p w14:paraId="3B3BEC5D">
      <w:pPr>
        <w:pStyle w:val="35"/>
        <w:widowControl/>
        <w:numPr>
          <w:ilvl w:val="0"/>
          <w:numId w:val="5"/>
        </w:numPr>
        <w:ind w:left="840" w:hanging="420"/>
        <w:contextualSpacing w:val="0"/>
        <w:rPr>
          <w:rFonts w:hint="eastAsia"/>
          <w:color w:val="auto"/>
        </w:rPr>
      </w:pPr>
      <w:r>
        <w:rPr>
          <w:rFonts w:ascii="仿宋" w:hAnsi="仿宋" w:cs="仿宋"/>
          <w:color w:val="auto"/>
          <w:szCs w:val="22"/>
        </w:rPr>
        <w:t>密钥分级管理：主密钥（MEK）存储在KMS HSM硬件安全模块中；数据加密密钥（DEK）由MEK加密保护</w:t>
      </w:r>
    </w:p>
    <w:p w14:paraId="04E79284">
      <w:pPr>
        <w:pStyle w:val="35"/>
        <w:widowControl/>
        <w:numPr>
          <w:ilvl w:val="0"/>
          <w:numId w:val="5"/>
        </w:numPr>
        <w:ind w:left="840" w:hanging="420"/>
        <w:contextualSpacing w:val="0"/>
        <w:rPr>
          <w:rFonts w:hint="eastAsia"/>
          <w:color w:val="auto"/>
        </w:rPr>
      </w:pPr>
      <w:r>
        <w:rPr>
          <w:rFonts w:ascii="仿宋" w:hAnsi="仿宋" w:cs="仿宋"/>
          <w:color w:val="auto"/>
          <w:szCs w:val="22"/>
        </w:rPr>
        <w:t>密钥轮换：DEK每90天自动轮换，MEK每年手动轮换，轮换过程不影响数据访问</w:t>
      </w:r>
    </w:p>
    <w:p w14:paraId="42EC868E">
      <w:pPr>
        <w:pStyle w:val="35"/>
        <w:widowControl/>
        <w:numPr>
          <w:ilvl w:val="0"/>
          <w:numId w:val="5"/>
        </w:numPr>
        <w:ind w:left="840" w:hanging="420"/>
        <w:contextualSpacing w:val="0"/>
        <w:rPr>
          <w:rFonts w:hint="eastAsia"/>
          <w:color w:val="auto"/>
        </w:rPr>
      </w:pPr>
      <w:r>
        <w:rPr>
          <w:rFonts w:ascii="仿宋" w:hAnsi="仿宋" w:cs="仿宋"/>
          <w:color w:val="auto"/>
          <w:szCs w:val="22"/>
        </w:rPr>
        <w:t>密钥访问控制：基于RBAC，不同角色（平台管理员/租户管理员）有严格的密钥访问权限</w:t>
      </w:r>
    </w:p>
    <w:p w14:paraId="06F2BCB2">
      <w:pPr>
        <w:pStyle w:val="5"/>
        <w:rPr>
          <w:rFonts w:hint="eastAsia"/>
          <w:color w:val="auto"/>
        </w:rPr>
      </w:pPr>
      <w:r>
        <w:rPr>
          <w:color w:val="auto"/>
        </w:rPr>
        <w:t>身份鉴别与访问控制</w:t>
      </w:r>
    </w:p>
    <w:p w14:paraId="293DBA9A">
      <w:pPr>
        <w:pStyle w:val="35"/>
        <w:widowControl/>
        <w:numPr>
          <w:ilvl w:val="0"/>
          <w:numId w:val="5"/>
        </w:numPr>
        <w:ind w:left="840" w:hanging="420"/>
        <w:contextualSpacing w:val="0"/>
        <w:rPr>
          <w:rFonts w:hint="eastAsia"/>
          <w:color w:val="auto"/>
        </w:rPr>
      </w:pPr>
      <w:r>
        <w:rPr>
          <w:rFonts w:ascii="仿宋" w:hAnsi="仿宋" w:cs="仿宋"/>
          <w:color w:val="auto"/>
          <w:szCs w:val="22"/>
        </w:rPr>
        <w:t>统一身份认证：与浦东新区统一身份认证平台对接，支持LDAP/AD/SAML2.0协议</w:t>
      </w:r>
    </w:p>
    <w:p w14:paraId="402C79CA">
      <w:pPr>
        <w:pStyle w:val="35"/>
        <w:widowControl/>
        <w:numPr>
          <w:ilvl w:val="0"/>
          <w:numId w:val="5"/>
        </w:numPr>
        <w:ind w:left="840" w:hanging="420"/>
        <w:contextualSpacing w:val="0"/>
        <w:rPr>
          <w:rFonts w:hint="eastAsia"/>
          <w:color w:val="auto"/>
        </w:rPr>
      </w:pPr>
      <w:r>
        <w:rPr>
          <w:rFonts w:ascii="仿宋" w:hAnsi="仿宋" w:cs="仿宋"/>
          <w:color w:val="auto"/>
          <w:szCs w:val="22"/>
        </w:rPr>
        <w:t>多因素认证（MFA）：平台管理员账号强制开启MFA（口令+动态令牌）</w:t>
      </w:r>
    </w:p>
    <w:p w14:paraId="05491E0B">
      <w:pPr>
        <w:pStyle w:val="35"/>
        <w:widowControl/>
        <w:numPr>
          <w:ilvl w:val="0"/>
          <w:numId w:val="5"/>
        </w:numPr>
        <w:ind w:left="840" w:hanging="420"/>
        <w:contextualSpacing w:val="0"/>
        <w:rPr>
          <w:rFonts w:hint="eastAsia"/>
          <w:color w:val="auto"/>
        </w:rPr>
      </w:pPr>
      <w:r>
        <w:rPr>
          <w:rFonts w:ascii="仿宋" w:hAnsi="仿宋" w:cs="仿宋"/>
          <w:color w:val="auto"/>
          <w:szCs w:val="22"/>
        </w:rPr>
        <w:t>最小权限原则：每个用户/服务账号仅授予完成工作所需的最小权限，禁止超权访问</w:t>
      </w:r>
    </w:p>
    <w:p w14:paraId="61122F6F">
      <w:pPr>
        <w:pStyle w:val="35"/>
        <w:widowControl/>
        <w:numPr>
          <w:ilvl w:val="0"/>
          <w:numId w:val="5"/>
        </w:numPr>
        <w:ind w:left="840" w:hanging="420"/>
        <w:contextualSpacing w:val="0"/>
        <w:rPr>
          <w:rFonts w:hint="eastAsia"/>
          <w:color w:val="auto"/>
        </w:rPr>
      </w:pPr>
      <w:r>
        <w:rPr>
          <w:rFonts w:ascii="仿宋" w:hAnsi="仿宋" w:cs="仿宋"/>
          <w:color w:val="auto"/>
          <w:szCs w:val="22"/>
        </w:rPr>
        <w:t>细粒度权限：支持表级、列级、行级数据访问控制，保障敏感字段（如个人身份信息）的安全访问</w:t>
      </w:r>
    </w:p>
    <w:p w14:paraId="11B2B24F">
      <w:pPr>
        <w:pStyle w:val="35"/>
        <w:widowControl/>
        <w:numPr>
          <w:ilvl w:val="0"/>
          <w:numId w:val="5"/>
        </w:numPr>
        <w:ind w:left="840" w:hanging="420"/>
        <w:contextualSpacing w:val="0"/>
        <w:rPr>
          <w:rFonts w:hint="eastAsia"/>
          <w:color w:val="auto"/>
        </w:rPr>
      </w:pPr>
      <w:r>
        <w:rPr>
          <w:rFonts w:ascii="仿宋" w:hAnsi="仿宋" w:cs="仿宋"/>
          <w:color w:val="auto"/>
          <w:szCs w:val="22"/>
        </w:rPr>
        <w:t>动态脱敏：对低权限用户访问敏感字段时，自动执行动态数据脱敏（如手机号脱敏、身份证号脱敏）</w:t>
      </w:r>
    </w:p>
    <w:p w14:paraId="0F6F3347">
      <w:pPr>
        <w:pStyle w:val="5"/>
        <w:rPr>
          <w:rFonts w:hint="eastAsia"/>
          <w:color w:val="auto"/>
        </w:rPr>
      </w:pPr>
      <w:r>
        <w:rPr>
          <w:color w:val="auto"/>
        </w:rPr>
        <w:t>审计日志</w:t>
      </w:r>
    </w:p>
    <w:p w14:paraId="380EF592">
      <w:pPr>
        <w:pStyle w:val="42"/>
        <w:jc w:val="both"/>
        <w:rPr>
          <w:rFonts w:hint="eastAsia"/>
          <w:color w:val="auto"/>
        </w:rPr>
      </w:pPr>
      <w:r>
        <w:rPr>
          <w:color w:val="auto"/>
          <w:szCs w:val="22"/>
        </w:rPr>
        <w:t>建立全链路审计日志体系，对所有数据访问和管理操作进行记录，满足等保三级和密评的审计要求：</w:t>
      </w:r>
    </w:p>
    <w:p w14:paraId="30EFC685">
      <w:pPr>
        <w:pStyle w:val="35"/>
        <w:widowControl/>
        <w:numPr>
          <w:ilvl w:val="0"/>
          <w:numId w:val="5"/>
        </w:numPr>
        <w:ind w:left="840" w:hanging="420"/>
        <w:contextualSpacing w:val="0"/>
        <w:rPr>
          <w:rFonts w:hint="eastAsia"/>
          <w:color w:val="auto"/>
        </w:rPr>
      </w:pPr>
      <w:r>
        <w:rPr>
          <w:rFonts w:ascii="仿宋" w:hAnsi="仿宋" w:cs="仿宋"/>
          <w:color w:val="auto"/>
          <w:szCs w:val="22"/>
        </w:rPr>
        <w:t>数据访问审计：记录所有SQL查询（含查询者身份、查询时间、查询语句、访问的表/字段）</w:t>
      </w:r>
    </w:p>
    <w:p w14:paraId="799FA60B">
      <w:pPr>
        <w:pStyle w:val="35"/>
        <w:widowControl/>
        <w:numPr>
          <w:ilvl w:val="0"/>
          <w:numId w:val="5"/>
        </w:numPr>
        <w:ind w:left="840" w:hanging="420"/>
        <w:contextualSpacing w:val="0"/>
        <w:rPr>
          <w:rFonts w:hint="eastAsia"/>
          <w:color w:val="auto"/>
        </w:rPr>
      </w:pPr>
      <w:r>
        <w:rPr>
          <w:rFonts w:ascii="仿宋" w:hAnsi="仿宋" w:cs="仿宋"/>
          <w:color w:val="auto"/>
          <w:szCs w:val="22"/>
        </w:rPr>
        <w:t>数据写入审计：记录所有数据写入/修改/删除操作</w:t>
      </w:r>
    </w:p>
    <w:p w14:paraId="7CB1EA01">
      <w:pPr>
        <w:pStyle w:val="35"/>
        <w:widowControl/>
        <w:numPr>
          <w:ilvl w:val="0"/>
          <w:numId w:val="5"/>
        </w:numPr>
        <w:ind w:left="840" w:hanging="420"/>
        <w:contextualSpacing w:val="0"/>
        <w:rPr>
          <w:rFonts w:hint="eastAsia"/>
          <w:color w:val="auto"/>
        </w:rPr>
      </w:pPr>
      <w:r>
        <w:rPr>
          <w:rFonts w:ascii="仿宋" w:hAnsi="仿宋" w:cs="仿宋"/>
          <w:color w:val="auto"/>
          <w:szCs w:val="22"/>
        </w:rPr>
        <w:t>权限变更审计：记录所有权限授予/撤销操作</w:t>
      </w:r>
    </w:p>
    <w:p w14:paraId="506B2BDD">
      <w:pPr>
        <w:pStyle w:val="35"/>
        <w:widowControl/>
        <w:numPr>
          <w:ilvl w:val="0"/>
          <w:numId w:val="5"/>
        </w:numPr>
        <w:ind w:left="840" w:hanging="420"/>
        <w:contextualSpacing w:val="0"/>
        <w:rPr>
          <w:rFonts w:hint="eastAsia"/>
          <w:color w:val="auto"/>
        </w:rPr>
      </w:pPr>
      <w:r>
        <w:rPr>
          <w:rFonts w:ascii="仿宋" w:hAnsi="仿宋" w:cs="仿宋"/>
          <w:color w:val="auto"/>
          <w:szCs w:val="22"/>
        </w:rPr>
        <w:t>系统操作审计：记录所有平台管理操作（节点重启、配置变更等）</w:t>
      </w:r>
    </w:p>
    <w:p w14:paraId="3A7E8EBC">
      <w:pPr>
        <w:pStyle w:val="35"/>
        <w:widowControl/>
        <w:numPr>
          <w:ilvl w:val="0"/>
          <w:numId w:val="5"/>
        </w:numPr>
        <w:ind w:left="840" w:hanging="420"/>
        <w:contextualSpacing w:val="0"/>
        <w:rPr>
          <w:rFonts w:hint="eastAsia"/>
          <w:color w:val="auto"/>
        </w:rPr>
      </w:pPr>
      <w:r>
        <w:rPr>
          <w:rFonts w:ascii="仿宋" w:hAnsi="仿宋" w:cs="仿宋"/>
          <w:color w:val="auto"/>
          <w:szCs w:val="22"/>
        </w:rPr>
        <w:t>审计日志保护：审计日志写入独立的审计数据库，对平台管理员只读，防止篡改</w:t>
      </w:r>
    </w:p>
    <w:p w14:paraId="243686C9">
      <w:pPr>
        <w:pStyle w:val="35"/>
        <w:widowControl/>
        <w:numPr>
          <w:ilvl w:val="0"/>
          <w:numId w:val="5"/>
        </w:numPr>
        <w:ind w:left="840" w:hanging="420"/>
        <w:contextualSpacing w:val="0"/>
        <w:rPr>
          <w:rFonts w:hint="eastAsia"/>
          <w:color w:val="auto"/>
        </w:rPr>
      </w:pPr>
      <w:r>
        <w:rPr>
          <w:rFonts w:ascii="仿宋" w:hAnsi="仿宋" w:cs="仿宋"/>
          <w:color w:val="auto"/>
          <w:szCs w:val="22"/>
        </w:rPr>
        <w:t>审计日志保留：保留不少于6个月的在线审计日志，12个月的归档审计日志</w:t>
      </w:r>
    </w:p>
    <w:p w14:paraId="5ADD813E">
      <w:pPr>
        <w:pStyle w:val="5"/>
        <w:rPr>
          <w:rFonts w:hint="eastAsia"/>
          <w:color w:val="auto"/>
        </w:rPr>
      </w:pPr>
      <w:r>
        <w:rPr>
          <w:color w:val="auto"/>
        </w:rPr>
        <w:t>网络安全</w:t>
      </w:r>
    </w:p>
    <w:p w14:paraId="7EB41883">
      <w:pPr>
        <w:pStyle w:val="35"/>
        <w:widowControl/>
        <w:numPr>
          <w:ilvl w:val="0"/>
          <w:numId w:val="5"/>
        </w:numPr>
        <w:ind w:left="840" w:hanging="420"/>
        <w:contextualSpacing w:val="0"/>
        <w:rPr>
          <w:rFonts w:hint="eastAsia"/>
          <w:color w:val="auto"/>
        </w:rPr>
      </w:pPr>
      <w:r>
        <w:rPr>
          <w:rFonts w:ascii="仿宋" w:hAnsi="仿宋" w:cs="仿宋"/>
          <w:color w:val="auto"/>
          <w:szCs w:val="22"/>
        </w:rPr>
        <w:t>网络分区：数据平台网络与互联网、政务外网、内网严格分区，通过防火墙策略控制跨区访问</w:t>
      </w:r>
    </w:p>
    <w:p w14:paraId="5E1D567E">
      <w:pPr>
        <w:pStyle w:val="35"/>
        <w:widowControl/>
        <w:numPr>
          <w:ilvl w:val="0"/>
          <w:numId w:val="5"/>
        </w:numPr>
        <w:ind w:left="840" w:hanging="420"/>
        <w:contextualSpacing w:val="0"/>
        <w:rPr>
          <w:rFonts w:hint="eastAsia"/>
          <w:color w:val="auto"/>
        </w:rPr>
      </w:pPr>
      <w:r>
        <w:rPr>
          <w:rFonts w:ascii="仿宋" w:hAnsi="仿宋" w:cs="仿宋"/>
          <w:color w:val="auto"/>
          <w:szCs w:val="22"/>
        </w:rPr>
        <w:t>访问白名单：数据平台仅允许指定IP段（业务应用服务器IP、运维跳板机IP）的访问请求</w:t>
      </w:r>
    </w:p>
    <w:p w14:paraId="268C182F">
      <w:pPr>
        <w:pStyle w:val="35"/>
        <w:widowControl/>
        <w:numPr>
          <w:ilvl w:val="0"/>
          <w:numId w:val="5"/>
        </w:numPr>
        <w:ind w:left="840" w:hanging="420"/>
        <w:contextualSpacing w:val="0"/>
        <w:rPr>
          <w:rFonts w:hint="eastAsia"/>
          <w:color w:val="auto"/>
        </w:rPr>
      </w:pPr>
      <w:r>
        <w:rPr>
          <w:rFonts w:ascii="仿宋" w:hAnsi="仿宋" w:cs="仿宋"/>
          <w:color w:val="auto"/>
          <w:szCs w:val="22"/>
        </w:rPr>
        <w:t>传输加密：所有数据传输通道启用TLS 1.3加密，国产密码模式使用SM2/SM4套件</w:t>
      </w:r>
    </w:p>
    <w:p w14:paraId="678898F1">
      <w:pPr>
        <w:pStyle w:val="35"/>
        <w:widowControl/>
        <w:numPr>
          <w:ilvl w:val="0"/>
          <w:numId w:val="5"/>
        </w:numPr>
        <w:ind w:left="840" w:hanging="420"/>
        <w:contextualSpacing w:val="0"/>
        <w:rPr>
          <w:rFonts w:hint="eastAsia"/>
          <w:color w:val="auto"/>
        </w:rPr>
      </w:pPr>
      <w:r>
        <w:rPr>
          <w:rFonts w:ascii="仿宋" w:hAnsi="仿宋" w:cs="仿宋"/>
          <w:color w:val="auto"/>
          <w:szCs w:val="22"/>
        </w:rPr>
        <w:t>端口最小化：关闭所有非必要端口，仅开放业务所需的最小端口集合</w:t>
      </w:r>
    </w:p>
    <w:p w14:paraId="7E603588">
      <w:pPr>
        <w:pStyle w:val="5"/>
        <w:rPr>
          <w:rFonts w:hint="eastAsia"/>
          <w:color w:val="auto"/>
        </w:rPr>
      </w:pPr>
      <w:r>
        <w:rPr>
          <w:color w:val="auto"/>
        </w:rPr>
        <w:t>等保与密评合规</w:t>
      </w:r>
    </w:p>
    <w:p w14:paraId="4BF29665">
      <w:pPr>
        <w:pStyle w:val="42"/>
        <w:jc w:val="both"/>
        <w:rPr>
          <w:rFonts w:hint="eastAsia"/>
          <w:color w:val="auto"/>
        </w:rPr>
      </w:pPr>
      <w:r>
        <w:rPr>
          <w:color w:val="auto"/>
          <w:szCs w:val="22"/>
        </w:rPr>
        <w:t>本次升级改造将同步完成以下合规工作，确保升级后平台通过等保三级测评和密评：</w:t>
      </w:r>
    </w:p>
    <w:p w14:paraId="3480816D">
      <w:pPr>
        <w:pStyle w:val="35"/>
        <w:widowControl/>
        <w:numPr>
          <w:ilvl w:val="0"/>
          <w:numId w:val="5"/>
        </w:numPr>
        <w:ind w:left="840" w:hanging="420"/>
        <w:contextualSpacing w:val="0"/>
        <w:rPr>
          <w:rFonts w:hint="eastAsia"/>
          <w:color w:val="auto"/>
        </w:rPr>
      </w:pPr>
      <w:r>
        <w:rPr>
          <w:rFonts w:ascii="仿宋" w:hAnsi="仿宋" w:cs="仿宋"/>
          <w:color w:val="auto"/>
          <w:szCs w:val="22"/>
        </w:rPr>
        <w:t>按等保2.0三级标准完成安全加固：安全通信网络、安全区域边界、安全计算环境、安全管理中心四个维度全面达标</w:t>
      </w:r>
    </w:p>
    <w:p w14:paraId="40F1F92E">
      <w:pPr>
        <w:pStyle w:val="35"/>
        <w:widowControl/>
        <w:numPr>
          <w:ilvl w:val="0"/>
          <w:numId w:val="5"/>
        </w:numPr>
        <w:ind w:left="840" w:hanging="420"/>
        <w:contextualSpacing w:val="0"/>
        <w:rPr>
          <w:rFonts w:hint="eastAsia"/>
          <w:color w:val="auto"/>
        </w:rPr>
      </w:pPr>
      <w:r>
        <w:rPr>
          <w:rFonts w:ascii="仿宋" w:hAnsi="仿宋" w:cs="仿宋"/>
          <w:color w:val="auto"/>
          <w:szCs w:val="22"/>
        </w:rPr>
        <w:t>密评：完成密码应用方案设计、系统密码应用实施、密评检测三个阶段，取得密评合格证书</w:t>
      </w:r>
    </w:p>
    <w:p w14:paraId="1DF13799">
      <w:pPr>
        <w:pStyle w:val="35"/>
        <w:widowControl/>
        <w:numPr>
          <w:ilvl w:val="0"/>
          <w:numId w:val="5"/>
        </w:numPr>
        <w:ind w:left="840" w:hanging="420"/>
        <w:contextualSpacing w:val="0"/>
        <w:rPr>
          <w:rFonts w:hint="eastAsia"/>
          <w:color w:val="auto"/>
        </w:rPr>
      </w:pPr>
      <w:r>
        <w:rPr>
          <w:rFonts w:ascii="仿宋" w:hAnsi="仿宋" w:cs="仿宋"/>
          <w:color w:val="auto"/>
          <w:szCs w:val="22"/>
        </w:rPr>
        <w:t>漏洞修复：定期进行漏洞扫描，发现高危漏洞在72小时内修复，中危漏洞在7日内修复</w:t>
      </w:r>
    </w:p>
    <w:p w14:paraId="49EEB2E9">
      <w:pPr>
        <w:pStyle w:val="35"/>
        <w:widowControl/>
        <w:numPr>
          <w:ilvl w:val="0"/>
          <w:numId w:val="5"/>
        </w:numPr>
        <w:ind w:left="840" w:hanging="420"/>
        <w:contextualSpacing w:val="0"/>
        <w:rPr>
          <w:rFonts w:hint="eastAsia"/>
          <w:color w:val="auto"/>
        </w:rPr>
      </w:pPr>
      <w:r>
        <w:rPr>
          <w:rFonts w:ascii="仿宋" w:hAnsi="仿宋" w:cs="仿宋"/>
          <w:color w:val="auto"/>
          <w:szCs w:val="22"/>
        </w:rPr>
        <w:t>安全基线：按CIS Benchmark标准完成操作系统、中间件、数据库的安全基线配置</w:t>
      </w:r>
    </w:p>
    <w:p w14:paraId="655275AD">
      <w:pPr>
        <w:pStyle w:val="3"/>
        <w:rPr>
          <w:rFonts w:hint="eastAsia"/>
          <w:color w:val="auto"/>
        </w:rPr>
      </w:pPr>
      <w:bookmarkStart w:id="50" w:name="_Toc230106868"/>
      <w:r>
        <w:rPr>
          <w:rFonts w:hint="eastAsia"/>
          <w:color w:val="auto"/>
        </w:rPr>
        <w:t>总体架构设计</w:t>
      </w:r>
      <w:bookmarkEnd w:id="50"/>
    </w:p>
    <w:p w14:paraId="2779504E">
      <w:pPr>
        <w:pStyle w:val="4"/>
        <w:rPr>
          <w:rFonts w:hint="eastAsia"/>
          <w:color w:val="auto"/>
        </w:rPr>
      </w:pPr>
      <w:bookmarkStart w:id="51" w:name="_Toc230106869"/>
      <w:r>
        <w:rPr>
          <w:rFonts w:hint="eastAsia"/>
          <w:color w:val="auto"/>
        </w:rPr>
        <w:t>系统架构</w:t>
      </w:r>
      <w:bookmarkEnd w:id="51"/>
    </w:p>
    <w:p w14:paraId="740A8DBC">
      <w:pPr>
        <w:pStyle w:val="42"/>
        <w:jc w:val="both"/>
        <w:rPr>
          <w:rFonts w:hint="eastAsia"/>
          <w:color w:val="auto"/>
        </w:rPr>
      </w:pPr>
      <w:r>
        <w:rPr>
          <w:rFonts w:hint="eastAsia"/>
          <w:color w:val="auto"/>
          <w:szCs w:val="22"/>
        </w:rPr>
        <w:t>系统平台</w:t>
      </w:r>
      <w:r>
        <w:rPr>
          <w:color w:val="auto"/>
          <w:szCs w:val="22"/>
        </w:rPr>
        <w:t>整体分为基础设施层、数据存储层、计算引擎层、数据服务层和应用接入层五个层次。</w:t>
      </w:r>
    </w:p>
    <w:p w14:paraId="53EC577D">
      <w:pPr>
        <w:pStyle w:val="5"/>
        <w:rPr>
          <w:rFonts w:hint="eastAsia"/>
          <w:color w:val="auto"/>
        </w:rPr>
      </w:pPr>
      <w:r>
        <w:rPr>
          <w:color w:val="auto"/>
        </w:rPr>
        <w:t>基础设施层</w:t>
      </w:r>
    </w:p>
    <w:p w14:paraId="2CE5295B">
      <w:pPr>
        <w:pStyle w:val="42"/>
        <w:jc w:val="both"/>
        <w:rPr>
          <w:rFonts w:hint="eastAsia"/>
          <w:color w:val="auto"/>
        </w:rPr>
      </w:pPr>
      <w:r>
        <w:rPr>
          <w:color w:val="auto"/>
          <w:szCs w:val="22"/>
        </w:rPr>
        <w:t>基础设施层由ARM国产服务器集群</w:t>
      </w:r>
      <w:r>
        <w:rPr>
          <w:rFonts w:hint="eastAsia"/>
          <w:color w:val="auto"/>
          <w:szCs w:val="22"/>
        </w:rPr>
        <w:t>和国产化操作系统</w:t>
      </w:r>
      <w:r>
        <w:rPr>
          <w:color w:val="auto"/>
          <w:szCs w:val="22"/>
        </w:rPr>
        <w:t>。网络采用万兆以太网，核心交换机实现冗余高可用。存储资源通过分布式文件系统统一管理本。</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6"/>
        <w:gridCol w:w="1817"/>
        <w:gridCol w:w="1970"/>
        <w:gridCol w:w="1692"/>
        <w:gridCol w:w="1887"/>
      </w:tblGrid>
      <w:tr w14:paraId="1E80007E">
        <w:tc>
          <w:tcPr>
            <w:tcW w:w="678" w:type="pct"/>
            <w:noWrap/>
          </w:tcPr>
          <w:p w14:paraId="6E7064D1">
            <w:pPr>
              <w:widowControl/>
              <w:snapToGrid w:val="0"/>
              <w:jc w:val="center"/>
              <w:textAlignment w:val="center"/>
              <w:rPr>
                <w:rFonts w:hint="eastAsia" w:ascii="仿宋" w:hAnsi="仿宋"/>
                <w:b/>
                <w:color w:val="auto"/>
              </w:rPr>
            </w:pPr>
            <w:r>
              <w:rPr>
                <w:rFonts w:hint="eastAsia" w:ascii="仿宋" w:hAnsi="仿宋" w:cs="宋体"/>
                <w:b/>
                <w:color w:val="auto"/>
                <w:kern w:val="0"/>
                <w:lang w:bidi="ar"/>
              </w:rPr>
              <w:t>节点</w:t>
            </w:r>
          </w:p>
        </w:tc>
        <w:tc>
          <w:tcPr>
            <w:tcW w:w="1066" w:type="pct"/>
            <w:noWrap/>
          </w:tcPr>
          <w:p w14:paraId="68D8A12E">
            <w:pPr>
              <w:widowControl/>
              <w:snapToGrid w:val="0"/>
              <w:jc w:val="center"/>
              <w:textAlignment w:val="center"/>
              <w:rPr>
                <w:rFonts w:hint="eastAsia" w:ascii="仿宋" w:hAnsi="仿宋"/>
                <w:b/>
                <w:color w:val="auto"/>
              </w:rPr>
            </w:pPr>
            <w:r>
              <w:rPr>
                <w:rFonts w:hint="eastAsia" w:ascii="仿宋" w:hAnsi="仿宋" w:cs="宋体"/>
                <w:b/>
                <w:color w:val="auto"/>
                <w:kern w:val="0"/>
                <w:lang w:bidi="ar"/>
              </w:rPr>
              <w:t>节点用途</w:t>
            </w:r>
          </w:p>
        </w:tc>
        <w:tc>
          <w:tcPr>
            <w:tcW w:w="1156" w:type="pct"/>
            <w:noWrap/>
          </w:tcPr>
          <w:p w14:paraId="59AC5A45">
            <w:pPr>
              <w:widowControl/>
              <w:snapToGrid w:val="0"/>
              <w:jc w:val="center"/>
              <w:textAlignment w:val="center"/>
              <w:rPr>
                <w:rFonts w:hint="eastAsia" w:ascii="仿宋" w:hAnsi="仿宋"/>
                <w:b/>
                <w:color w:val="auto"/>
              </w:rPr>
            </w:pPr>
            <w:r>
              <w:rPr>
                <w:rFonts w:hint="eastAsia" w:ascii="仿宋" w:hAnsi="仿宋" w:cs="宋体"/>
                <w:b/>
                <w:color w:val="auto"/>
                <w:kern w:val="0"/>
                <w:lang w:bidi="ar"/>
              </w:rPr>
              <w:t>cpu(核)</w:t>
            </w:r>
          </w:p>
        </w:tc>
        <w:tc>
          <w:tcPr>
            <w:tcW w:w="993" w:type="pct"/>
            <w:noWrap/>
          </w:tcPr>
          <w:p w14:paraId="440FECDF">
            <w:pPr>
              <w:widowControl/>
              <w:snapToGrid w:val="0"/>
              <w:jc w:val="center"/>
              <w:textAlignment w:val="center"/>
              <w:rPr>
                <w:rFonts w:hint="eastAsia" w:ascii="仿宋" w:hAnsi="仿宋"/>
                <w:b/>
                <w:color w:val="auto"/>
              </w:rPr>
            </w:pPr>
            <w:r>
              <w:rPr>
                <w:rFonts w:hint="eastAsia" w:ascii="仿宋" w:hAnsi="仿宋" w:cs="宋体"/>
                <w:b/>
                <w:color w:val="auto"/>
                <w:kern w:val="0"/>
                <w:lang w:bidi="ar"/>
              </w:rPr>
              <w:t>内存（GB）</w:t>
            </w:r>
          </w:p>
        </w:tc>
        <w:tc>
          <w:tcPr>
            <w:tcW w:w="1108" w:type="pct"/>
            <w:noWrap/>
          </w:tcPr>
          <w:p w14:paraId="31FEFEC1">
            <w:pPr>
              <w:widowControl/>
              <w:snapToGrid w:val="0"/>
              <w:jc w:val="center"/>
              <w:textAlignment w:val="center"/>
              <w:rPr>
                <w:rFonts w:hint="eastAsia" w:ascii="仿宋" w:hAnsi="仿宋"/>
                <w:b/>
                <w:color w:val="auto"/>
              </w:rPr>
            </w:pPr>
            <w:r>
              <w:rPr>
                <w:rFonts w:hint="eastAsia" w:ascii="仿宋" w:hAnsi="仿宋" w:cs="宋体"/>
                <w:b/>
                <w:color w:val="auto"/>
                <w:kern w:val="0"/>
                <w:lang w:bidi="ar"/>
              </w:rPr>
              <w:t>数据存储(T)</w:t>
            </w:r>
          </w:p>
        </w:tc>
      </w:tr>
      <w:tr w14:paraId="46679B84">
        <w:tc>
          <w:tcPr>
            <w:tcW w:w="678" w:type="pct"/>
            <w:noWrap/>
          </w:tcPr>
          <w:p w14:paraId="2F9F951A">
            <w:pPr>
              <w:widowControl/>
              <w:snapToGrid w:val="0"/>
              <w:jc w:val="center"/>
              <w:textAlignment w:val="center"/>
              <w:rPr>
                <w:rFonts w:hint="eastAsia" w:ascii="仿宋" w:hAnsi="仿宋"/>
                <w:color w:val="auto"/>
              </w:rPr>
            </w:pPr>
            <w:r>
              <w:rPr>
                <w:rFonts w:hint="eastAsia" w:ascii="仿宋" w:hAnsi="仿宋" w:cs="宋体"/>
                <w:color w:val="auto"/>
                <w:kern w:val="0"/>
                <w:lang w:bidi="ar"/>
              </w:rPr>
              <w:t>tdc01</w:t>
            </w:r>
          </w:p>
        </w:tc>
        <w:tc>
          <w:tcPr>
            <w:tcW w:w="1066" w:type="pct"/>
            <w:noWrap/>
          </w:tcPr>
          <w:p w14:paraId="1827CA2F">
            <w:pPr>
              <w:widowControl/>
              <w:snapToGrid w:val="0"/>
              <w:jc w:val="center"/>
              <w:textAlignment w:val="center"/>
              <w:rPr>
                <w:rFonts w:hint="eastAsia" w:ascii="仿宋" w:hAnsi="仿宋"/>
                <w:color w:val="auto"/>
              </w:rPr>
            </w:pPr>
            <w:r>
              <w:rPr>
                <w:rFonts w:hint="eastAsia" w:ascii="仿宋" w:hAnsi="仿宋" w:cs="宋体"/>
                <w:color w:val="auto"/>
                <w:kern w:val="0"/>
                <w:lang w:bidi="ar"/>
              </w:rPr>
              <w:t>管理节点</w:t>
            </w:r>
          </w:p>
        </w:tc>
        <w:tc>
          <w:tcPr>
            <w:tcW w:w="1156" w:type="pct"/>
            <w:noWrap/>
          </w:tcPr>
          <w:p w14:paraId="49842858">
            <w:pPr>
              <w:widowControl/>
              <w:snapToGrid w:val="0"/>
              <w:jc w:val="center"/>
              <w:textAlignment w:val="center"/>
              <w:rPr>
                <w:rFonts w:hint="eastAsia" w:ascii="仿宋" w:hAnsi="仿宋"/>
                <w:color w:val="auto"/>
              </w:rPr>
            </w:pPr>
            <w:r>
              <w:rPr>
                <w:rFonts w:hint="eastAsia" w:ascii="仿宋" w:hAnsi="仿宋" w:cs="宋体"/>
                <w:color w:val="auto"/>
                <w:kern w:val="0"/>
                <w:lang w:bidi="ar"/>
              </w:rPr>
              <w:t>64</w:t>
            </w:r>
          </w:p>
        </w:tc>
        <w:tc>
          <w:tcPr>
            <w:tcW w:w="993" w:type="pct"/>
            <w:noWrap/>
          </w:tcPr>
          <w:p w14:paraId="6E0C8571">
            <w:pPr>
              <w:widowControl/>
              <w:snapToGrid w:val="0"/>
              <w:jc w:val="center"/>
              <w:textAlignment w:val="center"/>
              <w:rPr>
                <w:rFonts w:hint="eastAsia" w:ascii="仿宋" w:hAnsi="仿宋"/>
                <w:color w:val="auto"/>
              </w:rPr>
            </w:pPr>
            <w:r>
              <w:rPr>
                <w:rFonts w:hint="eastAsia" w:ascii="仿宋" w:hAnsi="仿宋" w:cs="宋体"/>
                <w:color w:val="auto"/>
                <w:kern w:val="0"/>
                <w:lang w:bidi="ar"/>
              </w:rPr>
              <w:t>512</w:t>
            </w:r>
          </w:p>
        </w:tc>
        <w:tc>
          <w:tcPr>
            <w:tcW w:w="1108" w:type="pct"/>
            <w:noWrap/>
          </w:tcPr>
          <w:p w14:paraId="71683935">
            <w:pPr>
              <w:widowControl/>
              <w:snapToGrid w:val="0"/>
              <w:jc w:val="center"/>
              <w:textAlignment w:val="center"/>
              <w:rPr>
                <w:rFonts w:hint="eastAsia" w:ascii="仿宋" w:hAnsi="仿宋"/>
                <w:color w:val="auto"/>
              </w:rPr>
            </w:pPr>
            <w:r>
              <w:rPr>
                <w:rFonts w:hint="eastAsia" w:ascii="仿宋" w:hAnsi="仿宋" w:cs="宋体"/>
                <w:color w:val="auto"/>
                <w:kern w:val="0"/>
                <w:lang w:bidi="ar"/>
              </w:rPr>
              <w:t>6T*3</w:t>
            </w:r>
          </w:p>
        </w:tc>
      </w:tr>
      <w:tr w14:paraId="1090C5C6">
        <w:tc>
          <w:tcPr>
            <w:tcW w:w="678" w:type="pct"/>
            <w:noWrap/>
          </w:tcPr>
          <w:p w14:paraId="0FC5FB23">
            <w:pPr>
              <w:widowControl/>
              <w:snapToGrid w:val="0"/>
              <w:jc w:val="center"/>
              <w:textAlignment w:val="center"/>
              <w:rPr>
                <w:rFonts w:hint="eastAsia" w:ascii="仿宋" w:hAnsi="仿宋"/>
                <w:color w:val="auto"/>
              </w:rPr>
            </w:pPr>
            <w:r>
              <w:rPr>
                <w:rFonts w:hint="eastAsia" w:ascii="仿宋" w:hAnsi="仿宋" w:cs="宋体"/>
                <w:color w:val="auto"/>
                <w:kern w:val="0"/>
                <w:lang w:bidi="ar"/>
              </w:rPr>
              <w:t>tdc02</w:t>
            </w:r>
          </w:p>
        </w:tc>
        <w:tc>
          <w:tcPr>
            <w:tcW w:w="1066" w:type="pct"/>
            <w:noWrap/>
          </w:tcPr>
          <w:p w14:paraId="39401B92">
            <w:pPr>
              <w:widowControl/>
              <w:snapToGrid w:val="0"/>
              <w:jc w:val="center"/>
              <w:textAlignment w:val="center"/>
              <w:rPr>
                <w:rFonts w:hint="eastAsia" w:ascii="仿宋" w:hAnsi="仿宋"/>
                <w:color w:val="auto"/>
              </w:rPr>
            </w:pPr>
            <w:r>
              <w:rPr>
                <w:rFonts w:hint="eastAsia" w:ascii="仿宋" w:hAnsi="仿宋" w:cs="宋体"/>
                <w:color w:val="auto"/>
                <w:kern w:val="0"/>
                <w:lang w:bidi="ar"/>
              </w:rPr>
              <w:t>管理节点</w:t>
            </w:r>
          </w:p>
        </w:tc>
        <w:tc>
          <w:tcPr>
            <w:tcW w:w="1156" w:type="pct"/>
            <w:noWrap/>
          </w:tcPr>
          <w:p w14:paraId="6B6E902B">
            <w:pPr>
              <w:widowControl/>
              <w:snapToGrid w:val="0"/>
              <w:jc w:val="center"/>
              <w:textAlignment w:val="center"/>
              <w:rPr>
                <w:rFonts w:hint="eastAsia" w:ascii="仿宋" w:hAnsi="仿宋"/>
                <w:color w:val="auto"/>
              </w:rPr>
            </w:pPr>
            <w:r>
              <w:rPr>
                <w:rFonts w:hint="eastAsia" w:ascii="仿宋" w:hAnsi="仿宋" w:cs="宋体"/>
                <w:color w:val="auto"/>
                <w:kern w:val="0"/>
                <w:lang w:bidi="ar"/>
              </w:rPr>
              <w:t>64</w:t>
            </w:r>
          </w:p>
        </w:tc>
        <w:tc>
          <w:tcPr>
            <w:tcW w:w="993" w:type="pct"/>
            <w:noWrap/>
          </w:tcPr>
          <w:p w14:paraId="0B9DC38D">
            <w:pPr>
              <w:widowControl/>
              <w:snapToGrid w:val="0"/>
              <w:jc w:val="center"/>
              <w:textAlignment w:val="center"/>
              <w:rPr>
                <w:rFonts w:hint="eastAsia" w:ascii="仿宋" w:hAnsi="仿宋"/>
                <w:color w:val="auto"/>
              </w:rPr>
            </w:pPr>
            <w:r>
              <w:rPr>
                <w:rFonts w:hint="eastAsia" w:ascii="仿宋" w:hAnsi="仿宋" w:cs="宋体"/>
                <w:color w:val="auto"/>
                <w:kern w:val="0"/>
                <w:lang w:bidi="ar"/>
              </w:rPr>
              <w:t>512</w:t>
            </w:r>
          </w:p>
        </w:tc>
        <w:tc>
          <w:tcPr>
            <w:tcW w:w="1108" w:type="pct"/>
            <w:noWrap/>
          </w:tcPr>
          <w:p w14:paraId="3E63AA80">
            <w:pPr>
              <w:widowControl/>
              <w:snapToGrid w:val="0"/>
              <w:jc w:val="center"/>
              <w:textAlignment w:val="center"/>
              <w:rPr>
                <w:rFonts w:hint="eastAsia" w:ascii="仿宋" w:hAnsi="仿宋"/>
                <w:color w:val="auto"/>
              </w:rPr>
            </w:pPr>
            <w:r>
              <w:rPr>
                <w:rFonts w:hint="eastAsia" w:ascii="仿宋" w:hAnsi="仿宋" w:cs="宋体"/>
                <w:color w:val="auto"/>
                <w:kern w:val="0"/>
                <w:lang w:bidi="ar"/>
              </w:rPr>
              <w:t>6T*3</w:t>
            </w:r>
          </w:p>
        </w:tc>
      </w:tr>
      <w:tr w14:paraId="0D9EB166">
        <w:tc>
          <w:tcPr>
            <w:tcW w:w="678" w:type="pct"/>
            <w:noWrap/>
          </w:tcPr>
          <w:p w14:paraId="1CFFE52B">
            <w:pPr>
              <w:widowControl/>
              <w:snapToGrid w:val="0"/>
              <w:jc w:val="center"/>
              <w:textAlignment w:val="center"/>
              <w:rPr>
                <w:rFonts w:hint="eastAsia" w:ascii="仿宋" w:hAnsi="仿宋"/>
                <w:color w:val="auto"/>
              </w:rPr>
            </w:pPr>
            <w:r>
              <w:rPr>
                <w:rFonts w:hint="eastAsia" w:ascii="仿宋" w:hAnsi="仿宋" w:cs="宋体"/>
                <w:color w:val="auto"/>
                <w:kern w:val="0"/>
                <w:lang w:bidi="ar"/>
              </w:rPr>
              <w:t>tdc03</w:t>
            </w:r>
          </w:p>
        </w:tc>
        <w:tc>
          <w:tcPr>
            <w:tcW w:w="1066" w:type="pct"/>
            <w:noWrap/>
          </w:tcPr>
          <w:p w14:paraId="20076ADB">
            <w:pPr>
              <w:widowControl/>
              <w:snapToGrid w:val="0"/>
              <w:jc w:val="center"/>
              <w:textAlignment w:val="center"/>
              <w:rPr>
                <w:rFonts w:hint="eastAsia" w:ascii="仿宋" w:hAnsi="仿宋"/>
                <w:color w:val="auto"/>
              </w:rPr>
            </w:pPr>
            <w:r>
              <w:rPr>
                <w:rFonts w:hint="eastAsia" w:ascii="仿宋" w:hAnsi="仿宋" w:cs="宋体"/>
                <w:color w:val="auto"/>
                <w:kern w:val="0"/>
                <w:lang w:bidi="ar"/>
              </w:rPr>
              <w:t>管理节点</w:t>
            </w:r>
          </w:p>
        </w:tc>
        <w:tc>
          <w:tcPr>
            <w:tcW w:w="1156" w:type="pct"/>
            <w:noWrap/>
          </w:tcPr>
          <w:p w14:paraId="579B0AEE">
            <w:pPr>
              <w:widowControl/>
              <w:snapToGrid w:val="0"/>
              <w:jc w:val="center"/>
              <w:textAlignment w:val="center"/>
              <w:rPr>
                <w:rFonts w:hint="eastAsia" w:ascii="仿宋" w:hAnsi="仿宋"/>
                <w:color w:val="auto"/>
              </w:rPr>
            </w:pPr>
            <w:r>
              <w:rPr>
                <w:rFonts w:hint="eastAsia" w:ascii="仿宋" w:hAnsi="仿宋" w:cs="宋体"/>
                <w:color w:val="auto"/>
                <w:kern w:val="0"/>
                <w:lang w:bidi="ar"/>
              </w:rPr>
              <w:t>64</w:t>
            </w:r>
          </w:p>
        </w:tc>
        <w:tc>
          <w:tcPr>
            <w:tcW w:w="993" w:type="pct"/>
            <w:noWrap/>
          </w:tcPr>
          <w:p w14:paraId="71FF2F37">
            <w:pPr>
              <w:widowControl/>
              <w:snapToGrid w:val="0"/>
              <w:jc w:val="center"/>
              <w:textAlignment w:val="center"/>
              <w:rPr>
                <w:rFonts w:hint="eastAsia" w:ascii="仿宋" w:hAnsi="仿宋"/>
                <w:color w:val="auto"/>
              </w:rPr>
            </w:pPr>
            <w:r>
              <w:rPr>
                <w:rFonts w:hint="eastAsia" w:ascii="仿宋" w:hAnsi="仿宋" w:cs="宋体"/>
                <w:color w:val="auto"/>
                <w:kern w:val="0"/>
                <w:lang w:bidi="ar"/>
              </w:rPr>
              <w:t>512</w:t>
            </w:r>
          </w:p>
        </w:tc>
        <w:tc>
          <w:tcPr>
            <w:tcW w:w="1108" w:type="pct"/>
            <w:noWrap/>
          </w:tcPr>
          <w:p w14:paraId="65C33A41">
            <w:pPr>
              <w:widowControl/>
              <w:snapToGrid w:val="0"/>
              <w:jc w:val="center"/>
              <w:textAlignment w:val="center"/>
              <w:rPr>
                <w:rFonts w:hint="eastAsia" w:ascii="仿宋" w:hAnsi="仿宋"/>
                <w:color w:val="auto"/>
              </w:rPr>
            </w:pPr>
            <w:r>
              <w:rPr>
                <w:rFonts w:hint="eastAsia" w:ascii="仿宋" w:hAnsi="仿宋" w:cs="宋体"/>
                <w:color w:val="auto"/>
                <w:kern w:val="0"/>
                <w:lang w:bidi="ar"/>
              </w:rPr>
              <w:t>6T*3</w:t>
            </w:r>
          </w:p>
        </w:tc>
      </w:tr>
      <w:tr w14:paraId="59DB64F2">
        <w:tc>
          <w:tcPr>
            <w:tcW w:w="678" w:type="pct"/>
            <w:noWrap/>
          </w:tcPr>
          <w:p w14:paraId="1C084B1B">
            <w:pPr>
              <w:widowControl/>
              <w:snapToGrid w:val="0"/>
              <w:jc w:val="center"/>
              <w:textAlignment w:val="center"/>
              <w:rPr>
                <w:rFonts w:hint="eastAsia" w:ascii="仿宋" w:hAnsi="仿宋"/>
                <w:color w:val="auto"/>
              </w:rPr>
            </w:pPr>
            <w:r>
              <w:rPr>
                <w:rFonts w:hint="eastAsia" w:ascii="仿宋" w:hAnsi="仿宋" w:cs="宋体"/>
                <w:color w:val="auto"/>
                <w:kern w:val="0"/>
                <w:lang w:bidi="ar"/>
              </w:rPr>
              <w:t>tdc04</w:t>
            </w:r>
          </w:p>
        </w:tc>
        <w:tc>
          <w:tcPr>
            <w:tcW w:w="1066" w:type="pct"/>
            <w:noWrap/>
          </w:tcPr>
          <w:p w14:paraId="0536155E">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06DE605D">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1C237F84">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18DFB97B">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1446F7AC">
        <w:tc>
          <w:tcPr>
            <w:tcW w:w="678" w:type="pct"/>
            <w:noWrap/>
          </w:tcPr>
          <w:p w14:paraId="50BC79C5">
            <w:pPr>
              <w:widowControl/>
              <w:snapToGrid w:val="0"/>
              <w:jc w:val="center"/>
              <w:textAlignment w:val="center"/>
              <w:rPr>
                <w:rFonts w:hint="eastAsia" w:ascii="仿宋" w:hAnsi="仿宋"/>
                <w:color w:val="auto"/>
              </w:rPr>
            </w:pPr>
            <w:r>
              <w:rPr>
                <w:rFonts w:hint="eastAsia" w:ascii="仿宋" w:hAnsi="仿宋" w:cs="宋体"/>
                <w:color w:val="auto"/>
                <w:kern w:val="0"/>
                <w:lang w:bidi="ar"/>
              </w:rPr>
              <w:t>tdc05</w:t>
            </w:r>
          </w:p>
        </w:tc>
        <w:tc>
          <w:tcPr>
            <w:tcW w:w="1066" w:type="pct"/>
            <w:noWrap/>
          </w:tcPr>
          <w:p w14:paraId="69985CF2">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15329CB6">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51B2C211">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51CBD8BF">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16EF8D78">
        <w:tc>
          <w:tcPr>
            <w:tcW w:w="678" w:type="pct"/>
            <w:noWrap/>
          </w:tcPr>
          <w:p w14:paraId="019844A0">
            <w:pPr>
              <w:widowControl/>
              <w:snapToGrid w:val="0"/>
              <w:jc w:val="center"/>
              <w:textAlignment w:val="center"/>
              <w:rPr>
                <w:rFonts w:hint="eastAsia" w:ascii="仿宋" w:hAnsi="仿宋"/>
                <w:color w:val="auto"/>
              </w:rPr>
            </w:pPr>
            <w:r>
              <w:rPr>
                <w:rFonts w:hint="eastAsia" w:ascii="仿宋" w:hAnsi="仿宋" w:cs="宋体"/>
                <w:color w:val="auto"/>
                <w:kern w:val="0"/>
                <w:lang w:bidi="ar"/>
              </w:rPr>
              <w:t>tdc06</w:t>
            </w:r>
          </w:p>
        </w:tc>
        <w:tc>
          <w:tcPr>
            <w:tcW w:w="1066" w:type="pct"/>
            <w:noWrap/>
          </w:tcPr>
          <w:p w14:paraId="498D5802">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4E76332C">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2795FA40">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3FAE25DE">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4126F7C3">
        <w:tc>
          <w:tcPr>
            <w:tcW w:w="678" w:type="pct"/>
            <w:noWrap/>
          </w:tcPr>
          <w:p w14:paraId="7F12E392">
            <w:pPr>
              <w:widowControl/>
              <w:snapToGrid w:val="0"/>
              <w:jc w:val="center"/>
              <w:textAlignment w:val="center"/>
              <w:rPr>
                <w:rFonts w:hint="eastAsia" w:ascii="仿宋" w:hAnsi="仿宋"/>
                <w:color w:val="auto"/>
              </w:rPr>
            </w:pPr>
            <w:r>
              <w:rPr>
                <w:rFonts w:hint="eastAsia" w:ascii="仿宋" w:hAnsi="仿宋" w:cs="宋体"/>
                <w:color w:val="auto"/>
                <w:kern w:val="0"/>
                <w:lang w:bidi="ar"/>
              </w:rPr>
              <w:t>tdc07</w:t>
            </w:r>
          </w:p>
        </w:tc>
        <w:tc>
          <w:tcPr>
            <w:tcW w:w="1066" w:type="pct"/>
            <w:noWrap/>
          </w:tcPr>
          <w:p w14:paraId="12B153F9">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37EF3BB8">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6FD2C786">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043D5D0A">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79E091AC">
        <w:tc>
          <w:tcPr>
            <w:tcW w:w="678" w:type="pct"/>
            <w:noWrap/>
          </w:tcPr>
          <w:p w14:paraId="0EFBD759">
            <w:pPr>
              <w:widowControl/>
              <w:snapToGrid w:val="0"/>
              <w:jc w:val="center"/>
              <w:textAlignment w:val="center"/>
              <w:rPr>
                <w:rFonts w:hint="eastAsia" w:ascii="仿宋" w:hAnsi="仿宋"/>
                <w:color w:val="auto"/>
              </w:rPr>
            </w:pPr>
            <w:r>
              <w:rPr>
                <w:rFonts w:hint="eastAsia" w:ascii="仿宋" w:hAnsi="仿宋" w:cs="宋体"/>
                <w:color w:val="auto"/>
                <w:kern w:val="0"/>
                <w:lang w:bidi="ar"/>
              </w:rPr>
              <w:t>tdc08</w:t>
            </w:r>
          </w:p>
        </w:tc>
        <w:tc>
          <w:tcPr>
            <w:tcW w:w="1066" w:type="pct"/>
            <w:noWrap/>
          </w:tcPr>
          <w:p w14:paraId="6E812D32">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6CAFDC62">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31A69A4E">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5F7A822B">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42552151">
        <w:tc>
          <w:tcPr>
            <w:tcW w:w="678" w:type="pct"/>
            <w:noWrap/>
          </w:tcPr>
          <w:p w14:paraId="37415C76">
            <w:pPr>
              <w:widowControl/>
              <w:snapToGrid w:val="0"/>
              <w:jc w:val="center"/>
              <w:textAlignment w:val="center"/>
              <w:rPr>
                <w:rFonts w:hint="eastAsia" w:ascii="仿宋" w:hAnsi="仿宋"/>
                <w:color w:val="auto"/>
              </w:rPr>
            </w:pPr>
            <w:r>
              <w:rPr>
                <w:rFonts w:hint="eastAsia" w:ascii="仿宋" w:hAnsi="仿宋" w:cs="宋体"/>
                <w:color w:val="auto"/>
                <w:kern w:val="0"/>
                <w:lang w:bidi="ar"/>
              </w:rPr>
              <w:t>tdc09</w:t>
            </w:r>
          </w:p>
        </w:tc>
        <w:tc>
          <w:tcPr>
            <w:tcW w:w="1066" w:type="pct"/>
            <w:noWrap/>
          </w:tcPr>
          <w:p w14:paraId="6184E0C6">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41AFF7D4">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16C34913">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5CD71533">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0390FC72">
        <w:tc>
          <w:tcPr>
            <w:tcW w:w="678" w:type="pct"/>
            <w:noWrap/>
          </w:tcPr>
          <w:p w14:paraId="56EBE775">
            <w:pPr>
              <w:widowControl/>
              <w:snapToGrid w:val="0"/>
              <w:jc w:val="center"/>
              <w:textAlignment w:val="center"/>
              <w:rPr>
                <w:rFonts w:hint="eastAsia" w:ascii="仿宋" w:hAnsi="仿宋"/>
                <w:color w:val="auto"/>
              </w:rPr>
            </w:pPr>
            <w:r>
              <w:rPr>
                <w:rFonts w:hint="eastAsia" w:ascii="仿宋" w:hAnsi="仿宋" w:cs="宋体"/>
                <w:color w:val="auto"/>
                <w:kern w:val="0"/>
                <w:lang w:bidi="ar"/>
              </w:rPr>
              <w:t>tdc10</w:t>
            </w:r>
          </w:p>
        </w:tc>
        <w:tc>
          <w:tcPr>
            <w:tcW w:w="1066" w:type="pct"/>
            <w:noWrap/>
          </w:tcPr>
          <w:p w14:paraId="331B54D6">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3A926DB5">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1E879C09">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5379D298">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64DBA0BF">
        <w:tc>
          <w:tcPr>
            <w:tcW w:w="678" w:type="pct"/>
            <w:noWrap/>
          </w:tcPr>
          <w:p w14:paraId="6C31521D">
            <w:pPr>
              <w:widowControl/>
              <w:snapToGrid w:val="0"/>
              <w:jc w:val="center"/>
              <w:textAlignment w:val="center"/>
              <w:rPr>
                <w:rFonts w:hint="eastAsia" w:ascii="仿宋" w:hAnsi="仿宋"/>
                <w:color w:val="auto"/>
              </w:rPr>
            </w:pPr>
            <w:r>
              <w:rPr>
                <w:rFonts w:hint="eastAsia" w:ascii="仿宋" w:hAnsi="仿宋" w:cs="宋体"/>
                <w:color w:val="auto"/>
                <w:kern w:val="0"/>
                <w:lang w:bidi="ar"/>
              </w:rPr>
              <w:t>tdc11</w:t>
            </w:r>
          </w:p>
        </w:tc>
        <w:tc>
          <w:tcPr>
            <w:tcW w:w="1066" w:type="pct"/>
            <w:noWrap/>
          </w:tcPr>
          <w:p w14:paraId="3B282549">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0E2B3A03">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2B5D4C6C">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3549A214">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4CF8901D">
        <w:tc>
          <w:tcPr>
            <w:tcW w:w="678" w:type="pct"/>
            <w:noWrap/>
          </w:tcPr>
          <w:p w14:paraId="58B2A42A">
            <w:pPr>
              <w:widowControl/>
              <w:snapToGrid w:val="0"/>
              <w:jc w:val="center"/>
              <w:textAlignment w:val="center"/>
              <w:rPr>
                <w:rFonts w:hint="eastAsia" w:ascii="仿宋" w:hAnsi="仿宋"/>
                <w:color w:val="auto"/>
              </w:rPr>
            </w:pPr>
            <w:r>
              <w:rPr>
                <w:rFonts w:hint="eastAsia" w:ascii="仿宋" w:hAnsi="仿宋" w:cs="宋体"/>
                <w:color w:val="auto"/>
                <w:kern w:val="0"/>
                <w:lang w:bidi="ar"/>
              </w:rPr>
              <w:t>tdc12</w:t>
            </w:r>
          </w:p>
        </w:tc>
        <w:tc>
          <w:tcPr>
            <w:tcW w:w="1066" w:type="pct"/>
            <w:noWrap/>
          </w:tcPr>
          <w:p w14:paraId="5850C4DC">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2D9D1173">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7DB34755">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61C490EC">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0428977E">
        <w:tc>
          <w:tcPr>
            <w:tcW w:w="678" w:type="pct"/>
            <w:noWrap/>
          </w:tcPr>
          <w:p w14:paraId="76BD9554">
            <w:pPr>
              <w:widowControl/>
              <w:snapToGrid w:val="0"/>
              <w:jc w:val="center"/>
              <w:textAlignment w:val="center"/>
              <w:rPr>
                <w:rFonts w:hint="eastAsia" w:ascii="仿宋" w:hAnsi="仿宋"/>
                <w:color w:val="auto"/>
              </w:rPr>
            </w:pPr>
            <w:r>
              <w:rPr>
                <w:rFonts w:hint="eastAsia" w:ascii="仿宋" w:hAnsi="仿宋" w:cs="宋体"/>
                <w:color w:val="auto"/>
                <w:kern w:val="0"/>
                <w:lang w:bidi="ar"/>
              </w:rPr>
              <w:t>tdc13</w:t>
            </w:r>
          </w:p>
        </w:tc>
        <w:tc>
          <w:tcPr>
            <w:tcW w:w="1066" w:type="pct"/>
            <w:noWrap/>
          </w:tcPr>
          <w:p w14:paraId="6216ADD3">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1B1770AA">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6D49EAA5">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47BBA152">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2E0EF520">
        <w:tc>
          <w:tcPr>
            <w:tcW w:w="678" w:type="pct"/>
            <w:noWrap/>
          </w:tcPr>
          <w:p w14:paraId="244861F1">
            <w:pPr>
              <w:widowControl/>
              <w:snapToGrid w:val="0"/>
              <w:jc w:val="center"/>
              <w:textAlignment w:val="center"/>
              <w:rPr>
                <w:rFonts w:hint="eastAsia" w:ascii="仿宋" w:hAnsi="仿宋"/>
                <w:color w:val="auto"/>
              </w:rPr>
            </w:pPr>
            <w:r>
              <w:rPr>
                <w:rFonts w:hint="eastAsia" w:ascii="仿宋" w:hAnsi="仿宋" w:cs="宋体"/>
                <w:color w:val="auto"/>
                <w:kern w:val="0"/>
                <w:lang w:bidi="ar"/>
              </w:rPr>
              <w:t>tdc14</w:t>
            </w:r>
          </w:p>
        </w:tc>
        <w:tc>
          <w:tcPr>
            <w:tcW w:w="1066" w:type="pct"/>
            <w:noWrap/>
          </w:tcPr>
          <w:p w14:paraId="07E211A0">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06CAEE03">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3219961F">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1AA10379">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5A7740DF">
        <w:tc>
          <w:tcPr>
            <w:tcW w:w="678" w:type="pct"/>
            <w:noWrap/>
          </w:tcPr>
          <w:p w14:paraId="0EDEA0FF">
            <w:pPr>
              <w:widowControl/>
              <w:snapToGrid w:val="0"/>
              <w:jc w:val="center"/>
              <w:textAlignment w:val="center"/>
              <w:rPr>
                <w:rFonts w:hint="eastAsia" w:ascii="仿宋" w:hAnsi="仿宋"/>
                <w:color w:val="auto"/>
              </w:rPr>
            </w:pPr>
            <w:r>
              <w:rPr>
                <w:rFonts w:hint="eastAsia" w:ascii="仿宋" w:hAnsi="仿宋" w:cs="宋体"/>
                <w:color w:val="auto"/>
                <w:kern w:val="0"/>
                <w:lang w:bidi="ar"/>
              </w:rPr>
              <w:t>tdc15</w:t>
            </w:r>
          </w:p>
        </w:tc>
        <w:tc>
          <w:tcPr>
            <w:tcW w:w="1066" w:type="pct"/>
            <w:noWrap/>
          </w:tcPr>
          <w:p w14:paraId="0DD31E59">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773FE949">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69E5951F">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2796ACFD">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3A3B8FD1">
        <w:tc>
          <w:tcPr>
            <w:tcW w:w="678" w:type="pct"/>
            <w:noWrap/>
          </w:tcPr>
          <w:p w14:paraId="2C00987C">
            <w:pPr>
              <w:widowControl/>
              <w:snapToGrid w:val="0"/>
              <w:jc w:val="center"/>
              <w:textAlignment w:val="center"/>
              <w:rPr>
                <w:rFonts w:hint="eastAsia" w:ascii="仿宋" w:hAnsi="仿宋"/>
                <w:color w:val="auto"/>
              </w:rPr>
            </w:pPr>
            <w:r>
              <w:rPr>
                <w:rFonts w:hint="eastAsia" w:ascii="仿宋" w:hAnsi="仿宋" w:cs="宋体"/>
                <w:color w:val="auto"/>
                <w:kern w:val="0"/>
                <w:lang w:bidi="ar"/>
              </w:rPr>
              <w:t>tdc16</w:t>
            </w:r>
          </w:p>
        </w:tc>
        <w:tc>
          <w:tcPr>
            <w:tcW w:w="1066" w:type="pct"/>
            <w:noWrap/>
          </w:tcPr>
          <w:p w14:paraId="2DE68EFC">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01082D65">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31C238FC">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0310E55B">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5FF6604A">
        <w:tc>
          <w:tcPr>
            <w:tcW w:w="678" w:type="pct"/>
            <w:noWrap/>
          </w:tcPr>
          <w:p w14:paraId="1A090628">
            <w:pPr>
              <w:widowControl/>
              <w:snapToGrid w:val="0"/>
              <w:jc w:val="center"/>
              <w:textAlignment w:val="center"/>
              <w:rPr>
                <w:rFonts w:hint="eastAsia" w:ascii="仿宋" w:hAnsi="仿宋"/>
                <w:color w:val="auto"/>
              </w:rPr>
            </w:pPr>
            <w:r>
              <w:rPr>
                <w:rFonts w:hint="eastAsia" w:ascii="仿宋" w:hAnsi="仿宋" w:cs="宋体"/>
                <w:color w:val="auto"/>
                <w:kern w:val="0"/>
                <w:lang w:bidi="ar"/>
              </w:rPr>
              <w:t>tdc17</w:t>
            </w:r>
          </w:p>
        </w:tc>
        <w:tc>
          <w:tcPr>
            <w:tcW w:w="1066" w:type="pct"/>
            <w:noWrap/>
          </w:tcPr>
          <w:p w14:paraId="673DE852">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4D06900B">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0FD0D250">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5920F225">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5F19A956">
        <w:tc>
          <w:tcPr>
            <w:tcW w:w="678" w:type="pct"/>
            <w:noWrap/>
          </w:tcPr>
          <w:p w14:paraId="09D8D17A">
            <w:pPr>
              <w:widowControl/>
              <w:snapToGrid w:val="0"/>
              <w:jc w:val="center"/>
              <w:textAlignment w:val="center"/>
              <w:rPr>
                <w:rFonts w:hint="eastAsia" w:ascii="仿宋" w:hAnsi="仿宋"/>
                <w:color w:val="auto"/>
              </w:rPr>
            </w:pPr>
            <w:r>
              <w:rPr>
                <w:rFonts w:hint="eastAsia" w:ascii="仿宋" w:hAnsi="仿宋" w:cs="宋体"/>
                <w:color w:val="auto"/>
                <w:kern w:val="0"/>
                <w:lang w:bidi="ar"/>
              </w:rPr>
              <w:t>tdc18</w:t>
            </w:r>
          </w:p>
        </w:tc>
        <w:tc>
          <w:tcPr>
            <w:tcW w:w="1066" w:type="pct"/>
            <w:noWrap/>
          </w:tcPr>
          <w:p w14:paraId="5DE8D996">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48F02609">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3FEFF93E">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74398E6C">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r w14:paraId="626EC06D">
        <w:tc>
          <w:tcPr>
            <w:tcW w:w="678" w:type="pct"/>
            <w:noWrap/>
          </w:tcPr>
          <w:p w14:paraId="76823BDB">
            <w:pPr>
              <w:widowControl/>
              <w:snapToGrid w:val="0"/>
              <w:jc w:val="center"/>
              <w:textAlignment w:val="center"/>
              <w:rPr>
                <w:rFonts w:hint="eastAsia" w:ascii="仿宋" w:hAnsi="仿宋"/>
                <w:color w:val="auto"/>
              </w:rPr>
            </w:pPr>
            <w:r>
              <w:rPr>
                <w:rFonts w:hint="eastAsia" w:ascii="仿宋" w:hAnsi="仿宋" w:cs="宋体"/>
                <w:color w:val="auto"/>
                <w:kern w:val="0"/>
                <w:lang w:bidi="ar"/>
              </w:rPr>
              <w:t>tdc19</w:t>
            </w:r>
          </w:p>
        </w:tc>
        <w:tc>
          <w:tcPr>
            <w:tcW w:w="1066" w:type="pct"/>
            <w:noWrap/>
          </w:tcPr>
          <w:p w14:paraId="7D3F24CF">
            <w:pPr>
              <w:widowControl/>
              <w:snapToGrid w:val="0"/>
              <w:jc w:val="center"/>
              <w:textAlignment w:val="center"/>
              <w:rPr>
                <w:rFonts w:hint="eastAsia" w:ascii="仿宋" w:hAnsi="仿宋"/>
                <w:color w:val="auto"/>
              </w:rPr>
            </w:pPr>
            <w:r>
              <w:rPr>
                <w:rFonts w:hint="eastAsia" w:ascii="仿宋" w:hAnsi="仿宋" w:cs="宋体"/>
                <w:color w:val="auto"/>
                <w:kern w:val="0"/>
                <w:lang w:bidi="ar"/>
              </w:rPr>
              <w:t>数据节点</w:t>
            </w:r>
          </w:p>
        </w:tc>
        <w:tc>
          <w:tcPr>
            <w:tcW w:w="1156" w:type="pct"/>
            <w:noWrap/>
          </w:tcPr>
          <w:p w14:paraId="7A741AE6">
            <w:pPr>
              <w:widowControl/>
              <w:snapToGrid w:val="0"/>
              <w:jc w:val="center"/>
              <w:textAlignment w:val="center"/>
              <w:rPr>
                <w:rFonts w:hint="eastAsia" w:ascii="仿宋" w:hAnsi="仿宋"/>
                <w:color w:val="auto"/>
              </w:rPr>
            </w:pPr>
            <w:r>
              <w:rPr>
                <w:rFonts w:hint="eastAsia" w:ascii="仿宋" w:hAnsi="仿宋" w:cs="宋体"/>
                <w:color w:val="auto"/>
                <w:kern w:val="0"/>
                <w:lang w:bidi="ar"/>
              </w:rPr>
              <w:t>40</w:t>
            </w:r>
          </w:p>
        </w:tc>
        <w:tc>
          <w:tcPr>
            <w:tcW w:w="993" w:type="pct"/>
            <w:noWrap/>
          </w:tcPr>
          <w:p w14:paraId="5338D394">
            <w:pPr>
              <w:widowControl/>
              <w:snapToGrid w:val="0"/>
              <w:jc w:val="center"/>
              <w:textAlignment w:val="center"/>
              <w:rPr>
                <w:rFonts w:hint="eastAsia" w:ascii="仿宋" w:hAnsi="仿宋"/>
                <w:color w:val="auto"/>
              </w:rPr>
            </w:pPr>
            <w:r>
              <w:rPr>
                <w:rFonts w:hint="eastAsia" w:ascii="仿宋" w:hAnsi="仿宋" w:cs="宋体"/>
                <w:color w:val="auto"/>
                <w:kern w:val="0"/>
                <w:lang w:bidi="ar"/>
              </w:rPr>
              <w:t>384</w:t>
            </w:r>
          </w:p>
        </w:tc>
        <w:tc>
          <w:tcPr>
            <w:tcW w:w="1108" w:type="pct"/>
            <w:noWrap/>
          </w:tcPr>
          <w:p w14:paraId="4619AF81">
            <w:pPr>
              <w:widowControl/>
              <w:snapToGrid w:val="0"/>
              <w:jc w:val="center"/>
              <w:textAlignment w:val="center"/>
              <w:rPr>
                <w:rFonts w:hint="eastAsia" w:ascii="仿宋" w:hAnsi="仿宋"/>
                <w:color w:val="auto"/>
              </w:rPr>
            </w:pPr>
            <w:r>
              <w:rPr>
                <w:rFonts w:hint="eastAsia" w:ascii="仿宋" w:hAnsi="仿宋" w:cs="宋体"/>
                <w:color w:val="auto"/>
                <w:kern w:val="0"/>
                <w:lang w:bidi="ar"/>
              </w:rPr>
              <w:t>6T*8</w:t>
            </w:r>
          </w:p>
        </w:tc>
      </w:tr>
    </w:tbl>
    <w:p w14:paraId="4DD90A43">
      <w:pPr>
        <w:pStyle w:val="42"/>
        <w:jc w:val="both"/>
        <w:rPr>
          <w:rFonts w:hint="eastAsia"/>
          <w:color w:val="auto"/>
        </w:rPr>
      </w:pPr>
    </w:p>
    <w:p w14:paraId="1A6B7F10">
      <w:pPr>
        <w:pStyle w:val="5"/>
        <w:rPr>
          <w:rFonts w:hint="eastAsia"/>
          <w:color w:val="auto"/>
        </w:rPr>
      </w:pPr>
      <w:r>
        <w:rPr>
          <w:color w:val="auto"/>
        </w:rPr>
        <w:t>数据存储层</w:t>
      </w:r>
    </w:p>
    <w:p w14:paraId="28F650AC">
      <w:pPr>
        <w:pStyle w:val="42"/>
        <w:jc w:val="both"/>
        <w:rPr>
          <w:rFonts w:hint="eastAsia"/>
          <w:color w:val="auto"/>
        </w:rPr>
      </w:pPr>
      <w:r>
        <w:rPr>
          <w:color w:val="auto"/>
          <w:szCs w:val="22"/>
        </w:rPr>
        <w:t>数据存储层以</w:t>
      </w:r>
      <w:r>
        <w:rPr>
          <w:rFonts w:hint="eastAsia"/>
          <w:color w:val="auto"/>
          <w:szCs w:val="22"/>
        </w:rPr>
        <w:t>TDDMS</w:t>
      </w:r>
      <w:r>
        <w:rPr>
          <w:color w:val="auto"/>
          <w:szCs w:val="22"/>
        </w:rPr>
        <w:t>为基础，支持ORC、Parquet</w:t>
      </w:r>
      <w:r>
        <w:rPr>
          <w:rFonts w:hint="eastAsia"/>
          <w:color w:val="auto"/>
          <w:szCs w:val="22"/>
        </w:rPr>
        <w:t>、Holodesk</w:t>
      </w:r>
      <w:r>
        <w:rPr>
          <w:color w:val="auto"/>
          <w:szCs w:val="22"/>
        </w:rPr>
        <w:t>等列存储格式。ArgoDB的存储引擎基于改进的列存格式，支持行列混存，为HTAP混合负载提供高效的存储支撑。同时保留HBase作为宽表NoSQL存储引擎，支持Hyperbase replication实现跨集群数据复制。</w:t>
      </w:r>
    </w:p>
    <w:p w14:paraId="0C819162">
      <w:pPr>
        <w:pStyle w:val="5"/>
        <w:rPr>
          <w:rFonts w:hint="eastAsia"/>
          <w:color w:val="auto"/>
        </w:rPr>
      </w:pPr>
      <w:r>
        <w:rPr>
          <w:color w:val="auto"/>
        </w:rPr>
        <w:t>计算引擎层</w:t>
      </w:r>
    </w:p>
    <w:p w14:paraId="61B3073C">
      <w:pPr>
        <w:pStyle w:val="42"/>
        <w:jc w:val="both"/>
        <w:rPr>
          <w:rFonts w:hint="eastAsia"/>
          <w:color w:val="auto"/>
        </w:rPr>
      </w:pPr>
      <w:r>
        <w:rPr>
          <w:color w:val="auto"/>
          <w:szCs w:val="22"/>
        </w:rPr>
        <w:t>计算引擎层以ArgoDB 6.2为核心分析引擎，同时保留</w:t>
      </w:r>
      <w:r>
        <w:rPr>
          <w:rFonts w:hint="eastAsia"/>
          <w:color w:val="auto"/>
          <w:szCs w:val="22"/>
        </w:rPr>
        <w:t>Inceptor</w:t>
      </w:r>
      <w:r>
        <w:rPr>
          <w:color w:val="auto"/>
          <w:szCs w:val="22"/>
        </w:rPr>
        <w:t>批处理引擎和</w:t>
      </w:r>
      <w:r>
        <w:rPr>
          <w:rFonts w:hint="eastAsia"/>
          <w:color w:val="auto"/>
          <w:szCs w:val="22"/>
        </w:rPr>
        <w:t>Slipstream</w:t>
      </w:r>
      <w:r>
        <w:rPr>
          <w:color w:val="auto"/>
          <w:szCs w:val="22"/>
        </w:rPr>
        <w:t>实时流处理引擎。</w:t>
      </w:r>
      <w:r>
        <w:rPr>
          <w:rFonts w:hint="eastAsia"/>
          <w:color w:val="auto"/>
          <w:szCs w:val="22"/>
        </w:rPr>
        <w:t>支持</w:t>
      </w:r>
      <w:r>
        <w:rPr>
          <w:color w:val="auto"/>
          <w:szCs w:val="22"/>
        </w:rPr>
        <w:t>计算任务，支持按租户、按队列、按优先级的多维度资源管控。</w:t>
      </w:r>
    </w:p>
    <w:p w14:paraId="2C297033">
      <w:pPr>
        <w:pStyle w:val="5"/>
        <w:rPr>
          <w:rFonts w:hint="eastAsia"/>
          <w:color w:val="auto"/>
        </w:rPr>
      </w:pPr>
      <w:r>
        <w:rPr>
          <w:color w:val="auto"/>
        </w:rPr>
        <w:t>数据服务层</w:t>
      </w:r>
    </w:p>
    <w:p w14:paraId="4CC2217A">
      <w:pPr>
        <w:pStyle w:val="42"/>
        <w:jc w:val="both"/>
        <w:rPr>
          <w:rFonts w:hint="eastAsia"/>
          <w:color w:val="auto"/>
        </w:rPr>
      </w:pPr>
      <w:r>
        <w:rPr>
          <w:color w:val="auto"/>
          <w:szCs w:val="22"/>
        </w:rPr>
        <w:t>数据服务层提供统一的数据接口服务，包括JDBC/ODBC接口、Restful API接口、Scope查询接口、Kundb关系数据库接口等，满足不同业务系统的数据访问需求。</w:t>
      </w:r>
    </w:p>
    <w:p w14:paraId="4E8B3410">
      <w:pPr>
        <w:pStyle w:val="5"/>
        <w:rPr>
          <w:rFonts w:hint="eastAsia"/>
          <w:color w:val="auto"/>
        </w:rPr>
      </w:pPr>
      <w:r>
        <w:rPr>
          <w:color w:val="auto"/>
        </w:rPr>
        <w:t>应用接入层</w:t>
      </w:r>
    </w:p>
    <w:p w14:paraId="4D59357C">
      <w:pPr>
        <w:pStyle w:val="42"/>
        <w:jc w:val="both"/>
        <w:rPr>
          <w:rFonts w:hint="eastAsia"/>
          <w:color w:val="auto"/>
        </w:rPr>
      </w:pPr>
      <w:r>
        <w:rPr>
          <w:color w:val="auto"/>
          <w:szCs w:val="22"/>
        </w:rPr>
        <w:t>应用接入层通过统一API网关对接各类政务应用，支持OAuth2.0统一身份认证，提供接口限流、熔断、灰度路由等能力，保障上层应用的稳定访问。</w:t>
      </w:r>
    </w:p>
    <w:p w14:paraId="7265B08F">
      <w:pPr>
        <w:pStyle w:val="4"/>
        <w:rPr>
          <w:rFonts w:hint="eastAsia"/>
          <w:color w:val="auto"/>
        </w:rPr>
      </w:pPr>
      <w:bookmarkStart w:id="52" w:name="_Toc230106870"/>
      <w:r>
        <w:rPr>
          <w:rFonts w:hint="eastAsia"/>
          <w:color w:val="auto"/>
        </w:rPr>
        <w:t>功能架构</w:t>
      </w:r>
      <w:bookmarkEnd w:id="52"/>
    </w:p>
    <w:p w14:paraId="423347F9">
      <w:pPr>
        <w:pStyle w:val="5"/>
        <w:rPr>
          <w:rFonts w:hint="eastAsia"/>
          <w:color w:val="auto"/>
        </w:rPr>
      </w:pPr>
      <w:r>
        <w:rPr>
          <w:rFonts w:hint="eastAsia"/>
          <w:color w:val="auto"/>
        </w:rPr>
        <w:t>功能架构设计</w:t>
      </w:r>
    </w:p>
    <w:p w14:paraId="445CF632">
      <w:pPr>
        <w:ind w:firstLine="480" w:firstLineChars="200"/>
        <w:jc w:val="both"/>
        <w:rPr>
          <w:rFonts w:hint="eastAsia" w:ascii="仿宋" w:hAnsi="仿宋" w:cs="仿宋"/>
          <w:color w:val="auto"/>
          <w:szCs w:val="22"/>
        </w:rPr>
      </w:pPr>
      <w:r>
        <w:rPr>
          <w:rFonts w:ascii="仿宋" w:hAnsi="仿宋" w:cs="仿宋"/>
          <w:color w:val="auto"/>
          <w:szCs w:val="22"/>
        </w:rPr>
        <w:t>本项目以平台升级、信创替代、安全合规、业务不停为核心原则，通过对浦东新区大数据平台的系统性升级改造，实现平台从TDC 2.3/TDH 6.2/Inceptor架构向TDC 5.1/TDH 9.3/ArgoDB 6.2的整体迁移，完成信创改造和国产化替代，全面提升平台的性能、安全、稳定性和扩展能力，为浦东新区政务数字化转型提供坚实的数据底座支撑。</w:t>
      </w:r>
    </w:p>
    <w:p w14:paraId="3D5DB4BB">
      <w:pPr>
        <w:pStyle w:val="5"/>
        <w:rPr>
          <w:rFonts w:hint="eastAsia"/>
          <w:color w:val="auto"/>
        </w:rPr>
      </w:pPr>
      <w:r>
        <w:rPr>
          <w:color w:val="auto"/>
        </w:rPr>
        <w:t>核心</w:t>
      </w:r>
      <w:r>
        <w:rPr>
          <w:rFonts w:hint="eastAsia"/>
          <w:color w:val="auto"/>
        </w:rPr>
        <w:t>功能说明</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5"/>
        <w:gridCol w:w="1776"/>
        <w:gridCol w:w="1861"/>
        <w:gridCol w:w="2850"/>
      </w:tblGrid>
      <w:tr w14:paraId="25A9BE86">
        <w:tc>
          <w:tcPr>
            <w:tcW w:w="1225" w:type="pct"/>
          </w:tcPr>
          <w:p w14:paraId="4EEB383C">
            <w:pPr>
              <w:pStyle w:val="43"/>
              <w:jc w:val="center"/>
              <w:rPr>
                <w:rFonts w:ascii="仿宋" w:hAnsi="仿宋" w:eastAsia="仿宋"/>
                <w:b/>
                <w:color w:val="auto"/>
                <w:sz w:val="24"/>
              </w:rPr>
            </w:pPr>
            <w:r>
              <w:rPr>
                <w:rFonts w:ascii="仿宋" w:hAnsi="仿宋" w:eastAsia="仿宋"/>
                <w:b/>
                <w:color w:val="auto"/>
                <w:sz w:val="24"/>
              </w:rPr>
              <w:t>组件</w:t>
            </w:r>
          </w:p>
        </w:tc>
        <w:tc>
          <w:tcPr>
            <w:tcW w:w="949" w:type="pct"/>
          </w:tcPr>
          <w:p w14:paraId="30D92885">
            <w:pPr>
              <w:pStyle w:val="43"/>
              <w:jc w:val="center"/>
              <w:rPr>
                <w:rFonts w:ascii="仿宋" w:hAnsi="仿宋" w:eastAsia="仿宋"/>
                <w:b/>
                <w:color w:val="auto"/>
                <w:sz w:val="24"/>
              </w:rPr>
            </w:pPr>
            <w:r>
              <w:rPr>
                <w:rFonts w:ascii="仿宋" w:hAnsi="仿宋" w:eastAsia="仿宋"/>
                <w:b/>
                <w:color w:val="auto"/>
                <w:sz w:val="24"/>
              </w:rPr>
              <w:t>现有版本</w:t>
            </w:r>
          </w:p>
        </w:tc>
        <w:tc>
          <w:tcPr>
            <w:tcW w:w="1123" w:type="pct"/>
          </w:tcPr>
          <w:p w14:paraId="15F43E2D">
            <w:pPr>
              <w:pStyle w:val="43"/>
              <w:jc w:val="center"/>
              <w:rPr>
                <w:rFonts w:ascii="仿宋" w:hAnsi="仿宋" w:eastAsia="仿宋"/>
                <w:b/>
                <w:color w:val="auto"/>
                <w:sz w:val="24"/>
              </w:rPr>
            </w:pPr>
            <w:r>
              <w:rPr>
                <w:rFonts w:ascii="仿宋" w:hAnsi="仿宋" w:eastAsia="仿宋"/>
                <w:b/>
                <w:color w:val="auto"/>
                <w:sz w:val="24"/>
              </w:rPr>
              <w:t>目标版本</w:t>
            </w:r>
          </w:p>
        </w:tc>
        <w:tc>
          <w:tcPr>
            <w:tcW w:w="1704" w:type="pct"/>
          </w:tcPr>
          <w:p w14:paraId="5601FF3E">
            <w:pPr>
              <w:pStyle w:val="43"/>
              <w:jc w:val="center"/>
              <w:rPr>
                <w:rFonts w:ascii="仿宋" w:hAnsi="仿宋" w:eastAsia="仿宋"/>
                <w:b/>
                <w:color w:val="auto"/>
                <w:sz w:val="24"/>
              </w:rPr>
            </w:pPr>
            <w:r>
              <w:rPr>
                <w:rFonts w:ascii="仿宋" w:hAnsi="仿宋" w:eastAsia="仿宋"/>
                <w:b/>
                <w:color w:val="auto"/>
                <w:sz w:val="24"/>
              </w:rPr>
              <w:t>升级说明</w:t>
            </w:r>
          </w:p>
        </w:tc>
      </w:tr>
      <w:tr w14:paraId="174E44E8">
        <w:tc>
          <w:tcPr>
            <w:tcW w:w="1225" w:type="pct"/>
          </w:tcPr>
          <w:p w14:paraId="7BFEDBB7">
            <w:pPr>
              <w:pStyle w:val="43"/>
              <w:rPr>
                <w:rFonts w:ascii="仿宋" w:hAnsi="仿宋" w:eastAsia="仿宋"/>
                <w:color w:val="auto"/>
                <w:sz w:val="24"/>
              </w:rPr>
            </w:pPr>
            <w:r>
              <w:rPr>
                <w:rFonts w:ascii="仿宋" w:hAnsi="仿宋" w:eastAsia="仿宋"/>
                <w:color w:val="auto"/>
                <w:sz w:val="24"/>
              </w:rPr>
              <w:t>TDC（平台管控）</w:t>
            </w:r>
          </w:p>
        </w:tc>
        <w:tc>
          <w:tcPr>
            <w:tcW w:w="949" w:type="pct"/>
          </w:tcPr>
          <w:p w14:paraId="7B3FEECB">
            <w:pPr>
              <w:pStyle w:val="43"/>
              <w:rPr>
                <w:rFonts w:ascii="仿宋" w:hAnsi="仿宋" w:eastAsia="仿宋"/>
                <w:color w:val="auto"/>
                <w:sz w:val="24"/>
              </w:rPr>
            </w:pPr>
            <w:r>
              <w:rPr>
                <w:rFonts w:ascii="仿宋" w:hAnsi="仿宋" w:eastAsia="仿宋"/>
                <w:color w:val="auto"/>
                <w:sz w:val="24"/>
              </w:rPr>
              <w:t>TDC 2.3</w:t>
            </w:r>
          </w:p>
        </w:tc>
        <w:tc>
          <w:tcPr>
            <w:tcW w:w="1123" w:type="pct"/>
          </w:tcPr>
          <w:p w14:paraId="5EB8D090">
            <w:pPr>
              <w:pStyle w:val="43"/>
              <w:rPr>
                <w:rFonts w:ascii="仿宋" w:hAnsi="仿宋" w:eastAsia="仿宋"/>
                <w:color w:val="auto"/>
                <w:sz w:val="24"/>
              </w:rPr>
            </w:pPr>
            <w:r>
              <w:rPr>
                <w:rFonts w:ascii="仿宋" w:hAnsi="仿宋" w:eastAsia="仿宋"/>
                <w:color w:val="auto"/>
                <w:sz w:val="24"/>
              </w:rPr>
              <w:t>TDC 5.1</w:t>
            </w:r>
          </w:p>
        </w:tc>
        <w:tc>
          <w:tcPr>
            <w:tcW w:w="1704" w:type="pct"/>
          </w:tcPr>
          <w:p w14:paraId="73261706">
            <w:pPr>
              <w:pStyle w:val="43"/>
              <w:rPr>
                <w:rFonts w:ascii="仿宋" w:hAnsi="仿宋" w:eastAsia="仿宋"/>
                <w:color w:val="auto"/>
                <w:sz w:val="24"/>
              </w:rPr>
            </w:pPr>
            <w:r>
              <w:rPr>
                <w:rFonts w:ascii="仿宋" w:hAnsi="仿宋" w:eastAsia="仿宋"/>
                <w:color w:val="auto"/>
                <w:sz w:val="24"/>
              </w:rPr>
              <w:t>全量升级，新增可视化运维、多租户管控</w:t>
            </w:r>
          </w:p>
        </w:tc>
      </w:tr>
      <w:tr w14:paraId="13766C13">
        <w:tc>
          <w:tcPr>
            <w:tcW w:w="1225" w:type="pct"/>
          </w:tcPr>
          <w:p w14:paraId="30B63859">
            <w:pPr>
              <w:pStyle w:val="43"/>
              <w:rPr>
                <w:rFonts w:ascii="仿宋" w:hAnsi="仿宋" w:eastAsia="仿宋"/>
                <w:color w:val="auto"/>
                <w:sz w:val="24"/>
              </w:rPr>
            </w:pPr>
            <w:r>
              <w:rPr>
                <w:rFonts w:ascii="仿宋" w:hAnsi="仿宋" w:eastAsia="仿宋"/>
                <w:color w:val="auto"/>
                <w:sz w:val="24"/>
              </w:rPr>
              <w:t>TDH（基础框架）</w:t>
            </w:r>
          </w:p>
        </w:tc>
        <w:tc>
          <w:tcPr>
            <w:tcW w:w="949" w:type="pct"/>
          </w:tcPr>
          <w:p w14:paraId="599C6D6C">
            <w:pPr>
              <w:pStyle w:val="43"/>
              <w:rPr>
                <w:rFonts w:ascii="仿宋" w:hAnsi="仿宋" w:eastAsia="仿宋"/>
                <w:color w:val="auto"/>
                <w:sz w:val="24"/>
              </w:rPr>
            </w:pPr>
            <w:r>
              <w:rPr>
                <w:rFonts w:ascii="仿宋" w:hAnsi="仿宋" w:eastAsia="仿宋"/>
                <w:color w:val="auto"/>
                <w:sz w:val="24"/>
              </w:rPr>
              <w:t>TDH 6.2</w:t>
            </w:r>
          </w:p>
        </w:tc>
        <w:tc>
          <w:tcPr>
            <w:tcW w:w="1123" w:type="pct"/>
          </w:tcPr>
          <w:p w14:paraId="611E9FD3">
            <w:pPr>
              <w:pStyle w:val="43"/>
              <w:rPr>
                <w:rFonts w:ascii="仿宋" w:hAnsi="仿宋" w:eastAsia="仿宋"/>
                <w:color w:val="auto"/>
                <w:sz w:val="24"/>
              </w:rPr>
            </w:pPr>
            <w:r>
              <w:rPr>
                <w:rFonts w:ascii="仿宋" w:hAnsi="仿宋" w:eastAsia="仿宋"/>
                <w:color w:val="auto"/>
                <w:sz w:val="24"/>
              </w:rPr>
              <w:t>TDH 9.3</w:t>
            </w:r>
          </w:p>
        </w:tc>
        <w:tc>
          <w:tcPr>
            <w:tcW w:w="1704" w:type="pct"/>
          </w:tcPr>
          <w:p w14:paraId="6EE64874">
            <w:pPr>
              <w:pStyle w:val="43"/>
              <w:rPr>
                <w:rFonts w:ascii="仿宋" w:hAnsi="仿宋" w:eastAsia="仿宋"/>
                <w:color w:val="auto"/>
                <w:sz w:val="24"/>
              </w:rPr>
            </w:pPr>
            <w:r>
              <w:rPr>
                <w:rFonts w:ascii="仿宋" w:hAnsi="仿宋" w:eastAsia="仿宋"/>
                <w:color w:val="auto"/>
                <w:sz w:val="24"/>
              </w:rPr>
              <w:t>Hadoop/YARN/HDFS全面升级</w:t>
            </w:r>
          </w:p>
        </w:tc>
      </w:tr>
      <w:tr w14:paraId="14C1E9A5">
        <w:tc>
          <w:tcPr>
            <w:tcW w:w="1225" w:type="pct"/>
          </w:tcPr>
          <w:p w14:paraId="411CD7F7">
            <w:pPr>
              <w:pStyle w:val="43"/>
              <w:rPr>
                <w:rFonts w:ascii="仿宋" w:hAnsi="仿宋" w:eastAsia="仿宋"/>
                <w:color w:val="auto"/>
                <w:sz w:val="24"/>
              </w:rPr>
            </w:pPr>
            <w:r>
              <w:rPr>
                <w:rFonts w:ascii="仿宋" w:hAnsi="仿宋" w:eastAsia="仿宋"/>
                <w:color w:val="auto"/>
                <w:sz w:val="24"/>
              </w:rPr>
              <w:t>分析引擎</w:t>
            </w:r>
          </w:p>
        </w:tc>
        <w:tc>
          <w:tcPr>
            <w:tcW w:w="949" w:type="pct"/>
          </w:tcPr>
          <w:p w14:paraId="0A95E804">
            <w:pPr>
              <w:pStyle w:val="43"/>
              <w:rPr>
                <w:rFonts w:ascii="仿宋" w:hAnsi="仿宋" w:eastAsia="仿宋"/>
                <w:color w:val="auto"/>
                <w:sz w:val="24"/>
              </w:rPr>
            </w:pPr>
            <w:r>
              <w:rPr>
                <w:rFonts w:ascii="仿宋" w:hAnsi="仿宋" w:eastAsia="仿宋"/>
                <w:color w:val="auto"/>
                <w:sz w:val="24"/>
              </w:rPr>
              <w:t>Inceptor</w:t>
            </w:r>
          </w:p>
        </w:tc>
        <w:tc>
          <w:tcPr>
            <w:tcW w:w="1123" w:type="pct"/>
          </w:tcPr>
          <w:p w14:paraId="33F2874B">
            <w:pPr>
              <w:pStyle w:val="43"/>
              <w:rPr>
                <w:rFonts w:ascii="仿宋" w:hAnsi="仿宋" w:eastAsia="仿宋"/>
                <w:color w:val="auto"/>
                <w:sz w:val="24"/>
              </w:rPr>
            </w:pPr>
            <w:r>
              <w:rPr>
                <w:rFonts w:ascii="仿宋" w:hAnsi="仿宋" w:eastAsia="仿宋"/>
                <w:color w:val="auto"/>
                <w:sz w:val="24"/>
              </w:rPr>
              <w:t>ArgoDB 6.2</w:t>
            </w:r>
          </w:p>
        </w:tc>
        <w:tc>
          <w:tcPr>
            <w:tcW w:w="1704" w:type="pct"/>
          </w:tcPr>
          <w:p w14:paraId="7A3D17AB">
            <w:pPr>
              <w:pStyle w:val="43"/>
              <w:rPr>
                <w:rFonts w:ascii="仿宋" w:hAnsi="仿宋" w:eastAsia="仿宋"/>
                <w:color w:val="auto"/>
                <w:sz w:val="24"/>
              </w:rPr>
            </w:pPr>
            <w:r>
              <w:rPr>
                <w:rFonts w:ascii="仿宋" w:hAnsi="仿宋" w:eastAsia="仿宋"/>
                <w:color w:val="auto"/>
                <w:sz w:val="24"/>
              </w:rPr>
              <w:t>引入HTAP能力，大幅提升查询性能</w:t>
            </w:r>
          </w:p>
        </w:tc>
      </w:tr>
      <w:tr w14:paraId="13D49214">
        <w:tc>
          <w:tcPr>
            <w:tcW w:w="1225" w:type="pct"/>
          </w:tcPr>
          <w:p w14:paraId="6E2D0F6B">
            <w:pPr>
              <w:pStyle w:val="43"/>
              <w:rPr>
                <w:rFonts w:ascii="仿宋" w:hAnsi="仿宋" w:eastAsia="仿宋"/>
                <w:color w:val="auto"/>
                <w:sz w:val="24"/>
              </w:rPr>
            </w:pPr>
            <w:r>
              <w:rPr>
                <w:rFonts w:ascii="仿宋" w:hAnsi="仿宋" w:eastAsia="仿宋"/>
                <w:color w:val="auto"/>
                <w:sz w:val="24"/>
              </w:rPr>
              <w:t>批处理引擎</w:t>
            </w:r>
          </w:p>
        </w:tc>
        <w:tc>
          <w:tcPr>
            <w:tcW w:w="949" w:type="pct"/>
          </w:tcPr>
          <w:p w14:paraId="51B569B7">
            <w:pPr>
              <w:pStyle w:val="43"/>
              <w:rPr>
                <w:rFonts w:ascii="仿宋" w:hAnsi="仿宋" w:eastAsia="仿宋"/>
                <w:color w:val="auto"/>
                <w:sz w:val="24"/>
              </w:rPr>
            </w:pPr>
            <w:r>
              <w:rPr>
                <w:rFonts w:hint="eastAsia" w:ascii="仿宋" w:hAnsi="仿宋" w:eastAsia="仿宋"/>
                <w:color w:val="auto"/>
                <w:sz w:val="24"/>
              </w:rPr>
              <w:t>Inceptor6.2</w:t>
            </w:r>
          </w:p>
        </w:tc>
        <w:tc>
          <w:tcPr>
            <w:tcW w:w="1123" w:type="pct"/>
          </w:tcPr>
          <w:p w14:paraId="37A57669">
            <w:pPr>
              <w:pStyle w:val="43"/>
              <w:rPr>
                <w:rFonts w:ascii="仿宋" w:hAnsi="仿宋" w:eastAsia="仿宋"/>
                <w:color w:val="auto"/>
                <w:sz w:val="24"/>
              </w:rPr>
            </w:pPr>
            <w:r>
              <w:rPr>
                <w:rFonts w:hint="eastAsia" w:ascii="仿宋" w:hAnsi="仿宋" w:eastAsia="仿宋"/>
                <w:color w:val="auto"/>
                <w:sz w:val="24"/>
              </w:rPr>
              <w:t>Inceptor9.3</w:t>
            </w:r>
          </w:p>
        </w:tc>
        <w:tc>
          <w:tcPr>
            <w:tcW w:w="1704" w:type="pct"/>
          </w:tcPr>
          <w:p w14:paraId="61BC6752">
            <w:pPr>
              <w:pStyle w:val="43"/>
              <w:rPr>
                <w:rFonts w:ascii="仿宋" w:hAnsi="仿宋" w:eastAsia="仿宋"/>
                <w:color w:val="auto"/>
                <w:sz w:val="24"/>
              </w:rPr>
            </w:pPr>
            <w:r>
              <w:rPr>
                <w:rFonts w:ascii="仿宋" w:hAnsi="仿宋" w:eastAsia="仿宋"/>
                <w:color w:val="auto"/>
                <w:sz w:val="24"/>
              </w:rPr>
              <w:t>性能提升，支持AQE自适应查询</w:t>
            </w:r>
          </w:p>
        </w:tc>
      </w:tr>
      <w:tr w14:paraId="26B041D4">
        <w:tc>
          <w:tcPr>
            <w:tcW w:w="1225" w:type="pct"/>
          </w:tcPr>
          <w:p w14:paraId="5CF4C236">
            <w:pPr>
              <w:pStyle w:val="43"/>
              <w:rPr>
                <w:rFonts w:ascii="仿宋" w:hAnsi="仿宋" w:eastAsia="仿宋"/>
                <w:color w:val="auto"/>
                <w:sz w:val="24"/>
              </w:rPr>
            </w:pPr>
            <w:r>
              <w:rPr>
                <w:rFonts w:ascii="仿宋" w:hAnsi="仿宋" w:eastAsia="仿宋"/>
                <w:color w:val="auto"/>
                <w:sz w:val="24"/>
              </w:rPr>
              <w:t>流处理引擎</w:t>
            </w:r>
          </w:p>
        </w:tc>
        <w:tc>
          <w:tcPr>
            <w:tcW w:w="949" w:type="pct"/>
          </w:tcPr>
          <w:p w14:paraId="34CB6D41">
            <w:pPr>
              <w:pStyle w:val="43"/>
              <w:rPr>
                <w:rFonts w:ascii="仿宋" w:hAnsi="仿宋" w:eastAsia="仿宋"/>
                <w:color w:val="auto"/>
                <w:sz w:val="24"/>
              </w:rPr>
            </w:pPr>
            <w:r>
              <w:rPr>
                <w:rFonts w:hint="eastAsia" w:ascii="仿宋" w:hAnsi="仿宋" w:eastAsia="仿宋"/>
                <w:color w:val="auto"/>
                <w:sz w:val="24"/>
              </w:rPr>
              <w:t>Slipstream6.2</w:t>
            </w:r>
          </w:p>
        </w:tc>
        <w:tc>
          <w:tcPr>
            <w:tcW w:w="1123" w:type="pct"/>
          </w:tcPr>
          <w:p w14:paraId="7B2B3612">
            <w:pPr>
              <w:pStyle w:val="43"/>
              <w:rPr>
                <w:rFonts w:ascii="仿宋" w:hAnsi="仿宋" w:eastAsia="仿宋"/>
                <w:color w:val="auto"/>
                <w:sz w:val="24"/>
              </w:rPr>
            </w:pPr>
            <w:r>
              <w:rPr>
                <w:rFonts w:hint="eastAsia" w:ascii="仿宋" w:hAnsi="仿宋" w:eastAsia="仿宋"/>
                <w:color w:val="auto"/>
                <w:sz w:val="24"/>
              </w:rPr>
              <w:t>Slipstream9.3</w:t>
            </w:r>
          </w:p>
        </w:tc>
        <w:tc>
          <w:tcPr>
            <w:tcW w:w="1704" w:type="pct"/>
          </w:tcPr>
          <w:p w14:paraId="43C63A1D">
            <w:pPr>
              <w:pStyle w:val="43"/>
              <w:rPr>
                <w:rFonts w:ascii="仿宋" w:hAnsi="仿宋" w:eastAsia="仿宋"/>
                <w:color w:val="auto"/>
                <w:sz w:val="24"/>
              </w:rPr>
            </w:pPr>
            <w:r>
              <w:rPr>
                <w:rFonts w:ascii="仿宋" w:hAnsi="仿宋" w:eastAsia="仿宋"/>
                <w:color w:val="auto"/>
                <w:sz w:val="24"/>
              </w:rPr>
              <w:t>升级Checkpoint机制，提升稳定性</w:t>
            </w:r>
          </w:p>
        </w:tc>
      </w:tr>
      <w:tr w14:paraId="5C6CDF0F">
        <w:tc>
          <w:tcPr>
            <w:tcW w:w="1225" w:type="pct"/>
          </w:tcPr>
          <w:p w14:paraId="52DA2CF1">
            <w:pPr>
              <w:pStyle w:val="43"/>
              <w:rPr>
                <w:rFonts w:ascii="仿宋" w:hAnsi="仿宋" w:eastAsia="仿宋"/>
                <w:color w:val="auto"/>
                <w:sz w:val="24"/>
              </w:rPr>
            </w:pPr>
            <w:r>
              <w:rPr>
                <w:rFonts w:ascii="仿宋" w:hAnsi="仿宋" w:eastAsia="仿宋"/>
                <w:color w:val="auto"/>
                <w:sz w:val="24"/>
              </w:rPr>
              <w:t>NoSQL存储</w:t>
            </w:r>
          </w:p>
        </w:tc>
        <w:tc>
          <w:tcPr>
            <w:tcW w:w="949" w:type="pct"/>
          </w:tcPr>
          <w:p w14:paraId="16FB0BF8">
            <w:pPr>
              <w:pStyle w:val="43"/>
              <w:rPr>
                <w:rFonts w:ascii="仿宋" w:hAnsi="仿宋" w:eastAsia="仿宋"/>
                <w:color w:val="auto"/>
                <w:sz w:val="24"/>
              </w:rPr>
            </w:pPr>
            <w:r>
              <w:rPr>
                <w:rFonts w:hint="eastAsia" w:ascii="仿宋" w:hAnsi="仿宋" w:eastAsia="仿宋"/>
                <w:color w:val="auto"/>
                <w:sz w:val="24"/>
              </w:rPr>
              <w:t>Hyperbase6.2</w:t>
            </w:r>
          </w:p>
        </w:tc>
        <w:tc>
          <w:tcPr>
            <w:tcW w:w="1123" w:type="pct"/>
          </w:tcPr>
          <w:p w14:paraId="3806EA95">
            <w:pPr>
              <w:pStyle w:val="43"/>
              <w:rPr>
                <w:rFonts w:ascii="仿宋" w:hAnsi="仿宋" w:eastAsia="仿宋"/>
                <w:color w:val="auto"/>
                <w:sz w:val="24"/>
              </w:rPr>
            </w:pPr>
            <w:r>
              <w:rPr>
                <w:rFonts w:hint="eastAsia" w:ascii="仿宋" w:hAnsi="仿宋" w:eastAsia="仿宋"/>
                <w:color w:val="auto"/>
                <w:sz w:val="24"/>
              </w:rPr>
              <w:t>Hyperbase9.3</w:t>
            </w:r>
          </w:p>
        </w:tc>
        <w:tc>
          <w:tcPr>
            <w:tcW w:w="1704" w:type="pct"/>
          </w:tcPr>
          <w:p w14:paraId="7C622686">
            <w:pPr>
              <w:pStyle w:val="43"/>
              <w:rPr>
                <w:rFonts w:ascii="仿宋" w:hAnsi="仿宋" w:eastAsia="仿宋"/>
                <w:color w:val="auto"/>
                <w:sz w:val="24"/>
              </w:rPr>
            </w:pPr>
            <w:r>
              <w:rPr>
                <w:rFonts w:ascii="仿宋" w:hAnsi="仿宋" w:eastAsia="仿宋"/>
                <w:color w:val="auto"/>
                <w:sz w:val="24"/>
              </w:rPr>
              <w:t>升级支持Hyperbase replication</w:t>
            </w:r>
          </w:p>
        </w:tc>
      </w:tr>
      <w:tr w14:paraId="1004A402">
        <w:tc>
          <w:tcPr>
            <w:tcW w:w="1225" w:type="pct"/>
          </w:tcPr>
          <w:p w14:paraId="57B6305E">
            <w:pPr>
              <w:pStyle w:val="43"/>
              <w:rPr>
                <w:rFonts w:ascii="仿宋" w:hAnsi="仿宋" w:eastAsia="仿宋"/>
                <w:color w:val="auto"/>
                <w:sz w:val="24"/>
              </w:rPr>
            </w:pPr>
            <w:r>
              <w:rPr>
                <w:rFonts w:ascii="仿宋" w:hAnsi="仿宋" w:eastAsia="仿宋"/>
                <w:color w:val="auto"/>
                <w:sz w:val="24"/>
              </w:rPr>
              <w:t>OS（信创节点）</w:t>
            </w:r>
          </w:p>
        </w:tc>
        <w:tc>
          <w:tcPr>
            <w:tcW w:w="949" w:type="pct"/>
          </w:tcPr>
          <w:p w14:paraId="036A71E6">
            <w:pPr>
              <w:pStyle w:val="43"/>
              <w:rPr>
                <w:rFonts w:ascii="仿宋" w:hAnsi="仿宋" w:eastAsia="仿宋"/>
                <w:color w:val="auto"/>
                <w:sz w:val="24"/>
              </w:rPr>
            </w:pPr>
            <w:r>
              <w:rPr>
                <w:rFonts w:ascii="仿宋" w:hAnsi="仿宋" w:eastAsia="仿宋"/>
                <w:color w:val="auto"/>
                <w:sz w:val="24"/>
              </w:rPr>
              <w:t>CentOS 7</w:t>
            </w:r>
          </w:p>
        </w:tc>
        <w:tc>
          <w:tcPr>
            <w:tcW w:w="1123" w:type="pct"/>
          </w:tcPr>
          <w:p w14:paraId="25A03FAD">
            <w:pPr>
              <w:pStyle w:val="43"/>
              <w:rPr>
                <w:rFonts w:ascii="仿宋" w:hAnsi="仿宋" w:eastAsia="仿宋"/>
                <w:color w:val="auto"/>
                <w:sz w:val="24"/>
              </w:rPr>
            </w:pPr>
            <w:r>
              <w:rPr>
                <w:rFonts w:ascii="仿宋" w:hAnsi="仿宋" w:eastAsia="仿宋"/>
                <w:color w:val="auto"/>
                <w:sz w:val="24"/>
              </w:rPr>
              <w:t>麒麟V10 / 统信UOS</w:t>
            </w:r>
          </w:p>
        </w:tc>
        <w:tc>
          <w:tcPr>
            <w:tcW w:w="1704" w:type="pct"/>
          </w:tcPr>
          <w:p w14:paraId="0FB78F64">
            <w:pPr>
              <w:pStyle w:val="43"/>
              <w:rPr>
                <w:rFonts w:ascii="仿宋" w:hAnsi="仿宋" w:eastAsia="仿宋"/>
                <w:color w:val="auto"/>
                <w:sz w:val="24"/>
              </w:rPr>
            </w:pPr>
            <w:r>
              <w:rPr>
                <w:rFonts w:ascii="仿宋" w:hAnsi="仿宋" w:eastAsia="仿宋"/>
                <w:color w:val="auto"/>
                <w:sz w:val="24"/>
              </w:rPr>
              <w:t>国产OS适配</w:t>
            </w:r>
          </w:p>
        </w:tc>
      </w:tr>
      <w:tr w14:paraId="159E2439">
        <w:tc>
          <w:tcPr>
            <w:tcW w:w="1225" w:type="pct"/>
          </w:tcPr>
          <w:p w14:paraId="1D148871">
            <w:pPr>
              <w:pStyle w:val="43"/>
              <w:rPr>
                <w:rFonts w:ascii="仿宋" w:hAnsi="仿宋" w:eastAsia="仿宋"/>
                <w:color w:val="auto"/>
                <w:sz w:val="24"/>
              </w:rPr>
            </w:pPr>
            <w:r>
              <w:rPr>
                <w:rFonts w:ascii="仿宋" w:hAnsi="仿宋" w:eastAsia="仿宋"/>
                <w:color w:val="auto"/>
                <w:sz w:val="24"/>
              </w:rPr>
              <w:t>硬件架构（新节点）</w:t>
            </w:r>
          </w:p>
        </w:tc>
        <w:tc>
          <w:tcPr>
            <w:tcW w:w="949" w:type="pct"/>
          </w:tcPr>
          <w:p w14:paraId="37C314DE">
            <w:pPr>
              <w:pStyle w:val="43"/>
              <w:rPr>
                <w:rFonts w:ascii="仿宋" w:hAnsi="仿宋" w:eastAsia="仿宋"/>
                <w:color w:val="auto"/>
                <w:sz w:val="24"/>
              </w:rPr>
            </w:pPr>
            <w:r>
              <w:rPr>
                <w:rFonts w:ascii="仿宋" w:hAnsi="仿宋" w:eastAsia="仿宋"/>
                <w:color w:val="auto"/>
                <w:sz w:val="24"/>
              </w:rPr>
              <w:t>X86</w:t>
            </w:r>
          </w:p>
        </w:tc>
        <w:tc>
          <w:tcPr>
            <w:tcW w:w="1123" w:type="pct"/>
          </w:tcPr>
          <w:p w14:paraId="52045CDE">
            <w:pPr>
              <w:pStyle w:val="43"/>
              <w:rPr>
                <w:rFonts w:ascii="仿宋" w:hAnsi="仿宋" w:eastAsia="仿宋"/>
                <w:color w:val="auto"/>
                <w:sz w:val="24"/>
              </w:rPr>
            </w:pPr>
            <w:r>
              <w:rPr>
                <w:rFonts w:ascii="仿宋" w:hAnsi="仿宋" w:eastAsia="仿宋"/>
                <w:color w:val="auto"/>
                <w:sz w:val="24"/>
              </w:rPr>
              <w:t>ARM（飞腾/鲲鹏）</w:t>
            </w:r>
          </w:p>
        </w:tc>
        <w:tc>
          <w:tcPr>
            <w:tcW w:w="1704" w:type="pct"/>
          </w:tcPr>
          <w:p w14:paraId="0C6B90C9">
            <w:pPr>
              <w:pStyle w:val="43"/>
              <w:rPr>
                <w:rFonts w:ascii="仿宋" w:hAnsi="仿宋" w:eastAsia="仿宋"/>
                <w:color w:val="auto"/>
                <w:sz w:val="24"/>
              </w:rPr>
            </w:pPr>
            <w:r>
              <w:rPr>
                <w:rFonts w:ascii="仿宋" w:hAnsi="仿宋" w:eastAsia="仿宋"/>
                <w:color w:val="auto"/>
                <w:sz w:val="24"/>
              </w:rPr>
              <w:t>信创合规要求</w:t>
            </w:r>
          </w:p>
        </w:tc>
      </w:tr>
    </w:tbl>
    <w:p w14:paraId="053D959C">
      <w:pPr>
        <w:pStyle w:val="42"/>
        <w:jc w:val="both"/>
        <w:rPr>
          <w:rFonts w:hint="eastAsia"/>
          <w:color w:val="auto"/>
          <w:szCs w:val="22"/>
        </w:rPr>
      </w:pPr>
    </w:p>
    <w:p w14:paraId="066BDD02">
      <w:pPr>
        <w:widowControl/>
        <w:spacing w:line="240" w:lineRule="auto"/>
        <w:rPr>
          <w:rFonts w:hint="eastAsia" w:ascii="仿宋" w:hAnsi="仿宋" w:cs="仿宋"/>
          <w:color w:val="auto"/>
          <w:kern w:val="0"/>
          <w:szCs w:val="22"/>
          <w14:ligatures w14:val="none"/>
        </w:rPr>
      </w:pPr>
      <w:r>
        <w:rPr>
          <w:rFonts w:hint="eastAsia"/>
          <w:color w:val="auto"/>
          <w:szCs w:val="22"/>
        </w:rPr>
        <w:br w:type="page"/>
      </w:r>
    </w:p>
    <w:p w14:paraId="6EE050D5">
      <w:pPr>
        <w:pStyle w:val="2"/>
        <w:rPr>
          <w:rFonts w:hint="eastAsia"/>
          <w:color w:val="auto"/>
        </w:rPr>
      </w:pPr>
      <w:bookmarkStart w:id="53" w:name="_Toc230106871"/>
      <w:r>
        <w:rPr>
          <w:rFonts w:hint="eastAsia"/>
          <w:color w:val="auto"/>
        </w:rPr>
        <w:t>详细建设方案</w:t>
      </w:r>
      <w:bookmarkEnd w:id="53"/>
    </w:p>
    <w:p w14:paraId="2E89E913">
      <w:pPr>
        <w:pStyle w:val="3"/>
        <w:rPr>
          <w:rFonts w:hint="eastAsia"/>
          <w:color w:val="auto"/>
        </w:rPr>
      </w:pPr>
      <w:bookmarkStart w:id="54" w:name="_Toc230106872"/>
      <w:r>
        <w:rPr>
          <w:rFonts w:hint="eastAsia"/>
          <w:color w:val="auto"/>
        </w:rPr>
        <w:t>总体实施计划</w:t>
      </w:r>
      <w:bookmarkEnd w:id="54"/>
    </w:p>
    <w:p w14:paraId="7BBF54BE">
      <w:pPr>
        <w:pStyle w:val="4"/>
        <w:rPr>
          <w:rFonts w:hint="eastAsia"/>
          <w:color w:val="auto"/>
        </w:rPr>
      </w:pPr>
      <w:bookmarkStart w:id="55" w:name="_Toc230106873"/>
      <w:r>
        <w:rPr>
          <w:rFonts w:hint="eastAsia"/>
          <w:color w:val="auto"/>
        </w:rPr>
        <w:t>实施计划</w:t>
      </w:r>
      <w:bookmarkEnd w:id="55"/>
    </w:p>
    <w:p w14:paraId="7622EADE">
      <w:pPr>
        <w:pStyle w:val="42"/>
        <w:jc w:val="both"/>
        <w:rPr>
          <w:rFonts w:hint="eastAsia"/>
          <w:color w:val="auto"/>
        </w:rPr>
      </w:pPr>
      <w:r>
        <w:rPr>
          <w:color w:val="auto"/>
          <w:szCs w:val="22"/>
        </w:rPr>
        <w:t>本项目计划总工期约12个月，分6个阶段推进：</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6"/>
        <w:gridCol w:w="1936"/>
        <w:gridCol w:w="1512"/>
        <w:gridCol w:w="1093"/>
        <w:gridCol w:w="2695"/>
      </w:tblGrid>
      <w:tr w14:paraId="133D2E2F">
        <w:tc>
          <w:tcPr>
            <w:tcW w:w="755" w:type="pct"/>
          </w:tcPr>
          <w:p w14:paraId="34992B94">
            <w:pPr>
              <w:pStyle w:val="43"/>
              <w:jc w:val="center"/>
              <w:rPr>
                <w:rFonts w:ascii="仿宋" w:hAnsi="仿宋" w:eastAsia="仿宋"/>
                <w:b/>
                <w:color w:val="auto"/>
                <w:sz w:val="24"/>
              </w:rPr>
            </w:pPr>
            <w:r>
              <w:rPr>
                <w:rFonts w:ascii="仿宋" w:hAnsi="仿宋" w:eastAsia="仿宋"/>
                <w:b/>
                <w:color w:val="auto"/>
                <w:sz w:val="24"/>
              </w:rPr>
              <w:t>阶段</w:t>
            </w:r>
          </w:p>
        </w:tc>
        <w:tc>
          <w:tcPr>
            <w:tcW w:w="1136" w:type="pct"/>
          </w:tcPr>
          <w:p w14:paraId="73299A04">
            <w:pPr>
              <w:pStyle w:val="43"/>
              <w:jc w:val="center"/>
              <w:rPr>
                <w:rFonts w:ascii="仿宋" w:hAnsi="仿宋" w:eastAsia="仿宋"/>
                <w:b/>
                <w:color w:val="auto"/>
                <w:sz w:val="24"/>
              </w:rPr>
            </w:pPr>
            <w:r>
              <w:rPr>
                <w:rFonts w:ascii="仿宋" w:hAnsi="仿宋" w:eastAsia="仿宋"/>
                <w:b/>
                <w:color w:val="auto"/>
                <w:sz w:val="24"/>
              </w:rPr>
              <w:t>名称</w:t>
            </w:r>
          </w:p>
        </w:tc>
        <w:tc>
          <w:tcPr>
            <w:tcW w:w="887" w:type="pct"/>
          </w:tcPr>
          <w:p w14:paraId="1E066FB6">
            <w:pPr>
              <w:pStyle w:val="43"/>
              <w:jc w:val="center"/>
              <w:rPr>
                <w:rFonts w:ascii="仿宋" w:hAnsi="仿宋" w:eastAsia="仿宋"/>
                <w:b/>
                <w:color w:val="auto"/>
                <w:sz w:val="24"/>
              </w:rPr>
            </w:pPr>
            <w:r>
              <w:rPr>
                <w:rFonts w:ascii="仿宋" w:hAnsi="仿宋" w:eastAsia="仿宋"/>
                <w:b/>
                <w:color w:val="auto"/>
                <w:sz w:val="24"/>
              </w:rPr>
              <w:t>计划时间</w:t>
            </w:r>
          </w:p>
        </w:tc>
        <w:tc>
          <w:tcPr>
            <w:tcW w:w="641" w:type="pct"/>
          </w:tcPr>
          <w:p w14:paraId="77F84E17">
            <w:pPr>
              <w:pStyle w:val="43"/>
              <w:jc w:val="center"/>
              <w:rPr>
                <w:rFonts w:ascii="仿宋" w:hAnsi="仿宋" w:eastAsia="仿宋"/>
                <w:b/>
                <w:color w:val="auto"/>
                <w:sz w:val="24"/>
              </w:rPr>
            </w:pPr>
            <w:r>
              <w:rPr>
                <w:rFonts w:ascii="仿宋" w:hAnsi="仿宋" w:eastAsia="仿宋"/>
                <w:b/>
                <w:color w:val="auto"/>
                <w:sz w:val="24"/>
              </w:rPr>
              <w:t>工期</w:t>
            </w:r>
          </w:p>
        </w:tc>
        <w:tc>
          <w:tcPr>
            <w:tcW w:w="1581" w:type="pct"/>
          </w:tcPr>
          <w:p w14:paraId="0BD8B24F">
            <w:pPr>
              <w:pStyle w:val="43"/>
              <w:jc w:val="center"/>
              <w:rPr>
                <w:rFonts w:ascii="仿宋" w:hAnsi="仿宋" w:eastAsia="仿宋"/>
                <w:b/>
                <w:color w:val="auto"/>
                <w:sz w:val="24"/>
              </w:rPr>
            </w:pPr>
            <w:r>
              <w:rPr>
                <w:rFonts w:ascii="仿宋" w:hAnsi="仿宋" w:eastAsia="仿宋"/>
                <w:b/>
                <w:color w:val="auto"/>
                <w:sz w:val="24"/>
              </w:rPr>
              <w:t>核心里程碑</w:t>
            </w:r>
          </w:p>
        </w:tc>
      </w:tr>
      <w:tr w14:paraId="4816A449">
        <w:tc>
          <w:tcPr>
            <w:tcW w:w="755" w:type="pct"/>
          </w:tcPr>
          <w:p w14:paraId="2D217E5E">
            <w:pPr>
              <w:pStyle w:val="43"/>
              <w:rPr>
                <w:rFonts w:ascii="仿宋" w:hAnsi="仿宋" w:eastAsia="仿宋"/>
                <w:color w:val="auto"/>
                <w:sz w:val="24"/>
              </w:rPr>
            </w:pPr>
            <w:r>
              <w:rPr>
                <w:rFonts w:ascii="仿宋" w:hAnsi="仿宋" w:eastAsia="仿宋"/>
                <w:color w:val="auto"/>
                <w:sz w:val="24"/>
              </w:rPr>
              <w:t>第一阶段</w:t>
            </w:r>
          </w:p>
        </w:tc>
        <w:tc>
          <w:tcPr>
            <w:tcW w:w="1136" w:type="pct"/>
          </w:tcPr>
          <w:p w14:paraId="78F9A5F3">
            <w:pPr>
              <w:pStyle w:val="43"/>
              <w:rPr>
                <w:rFonts w:ascii="仿宋" w:hAnsi="仿宋" w:eastAsia="仿宋"/>
                <w:color w:val="auto"/>
                <w:sz w:val="24"/>
              </w:rPr>
            </w:pPr>
            <w:r>
              <w:rPr>
                <w:rFonts w:ascii="仿宋" w:hAnsi="仿宋" w:eastAsia="仿宋"/>
                <w:color w:val="auto"/>
                <w:sz w:val="24"/>
              </w:rPr>
              <w:t>环境建设与信创节点纳管</w:t>
            </w:r>
          </w:p>
        </w:tc>
        <w:tc>
          <w:tcPr>
            <w:tcW w:w="887" w:type="pct"/>
          </w:tcPr>
          <w:p w14:paraId="1C605843">
            <w:pPr>
              <w:pStyle w:val="43"/>
              <w:rPr>
                <w:rFonts w:ascii="仿宋" w:hAnsi="仿宋" w:eastAsia="仿宋"/>
                <w:color w:val="auto"/>
                <w:sz w:val="24"/>
              </w:rPr>
            </w:pPr>
            <w:r>
              <w:rPr>
                <w:rFonts w:ascii="仿宋" w:hAnsi="仿宋" w:eastAsia="仿宋"/>
                <w:color w:val="auto"/>
                <w:sz w:val="24"/>
              </w:rPr>
              <w:t>第1个月</w:t>
            </w:r>
          </w:p>
        </w:tc>
        <w:tc>
          <w:tcPr>
            <w:tcW w:w="641" w:type="pct"/>
          </w:tcPr>
          <w:p w14:paraId="3726B4EB">
            <w:pPr>
              <w:pStyle w:val="43"/>
              <w:rPr>
                <w:rFonts w:ascii="仿宋" w:hAnsi="仿宋" w:eastAsia="仿宋"/>
                <w:color w:val="auto"/>
                <w:sz w:val="24"/>
              </w:rPr>
            </w:pPr>
            <w:r>
              <w:rPr>
                <w:rFonts w:hint="eastAsia" w:ascii="仿宋" w:hAnsi="仿宋" w:eastAsia="仿宋"/>
                <w:color w:val="auto"/>
                <w:sz w:val="24"/>
              </w:rPr>
              <w:t>1</w:t>
            </w:r>
            <w:r>
              <w:rPr>
                <w:rFonts w:ascii="仿宋" w:hAnsi="仿宋" w:eastAsia="仿宋"/>
                <w:color w:val="auto"/>
                <w:sz w:val="24"/>
              </w:rPr>
              <w:t>个月</w:t>
            </w:r>
          </w:p>
        </w:tc>
        <w:tc>
          <w:tcPr>
            <w:tcW w:w="1581" w:type="pct"/>
          </w:tcPr>
          <w:p w14:paraId="62F76626">
            <w:pPr>
              <w:pStyle w:val="43"/>
              <w:rPr>
                <w:rFonts w:ascii="仿宋" w:hAnsi="仿宋" w:eastAsia="仿宋"/>
                <w:color w:val="auto"/>
                <w:sz w:val="24"/>
              </w:rPr>
            </w:pPr>
            <w:r>
              <w:rPr>
                <w:rFonts w:ascii="仿宋" w:hAnsi="仿宋" w:eastAsia="仿宋"/>
                <w:color w:val="auto"/>
                <w:sz w:val="24"/>
              </w:rPr>
              <w:t>新集群上线，ARM节点纳管完成</w:t>
            </w:r>
          </w:p>
        </w:tc>
      </w:tr>
      <w:tr w14:paraId="2719AF4B">
        <w:tc>
          <w:tcPr>
            <w:tcW w:w="755" w:type="pct"/>
          </w:tcPr>
          <w:p w14:paraId="27A94E40">
            <w:pPr>
              <w:pStyle w:val="43"/>
              <w:rPr>
                <w:rFonts w:ascii="仿宋" w:hAnsi="仿宋" w:eastAsia="仿宋"/>
                <w:color w:val="auto"/>
                <w:sz w:val="24"/>
              </w:rPr>
            </w:pPr>
            <w:r>
              <w:rPr>
                <w:rFonts w:ascii="仿宋" w:hAnsi="仿宋" w:eastAsia="仿宋"/>
                <w:color w:val="auto"/>
                <w:sz w:val="24"/>
              </w:rPr>
              <w:t>第二阶段</w:t>
            </w:r>
          </w:p>
        </w:tc>
        <w:tc>
          <w:tcPr>
            <w:tcW w:w="1136" w:type="pct"/>
          </w:tcPr>
          <w:p w14:paraId="252BBCE7">
            <w:pPr>
              <w:pStyle w:val="43"/>
              <w:rPr>
                <w:rFonts w:ascii="仿宋" w:hAnsi="仿宋" w:eastAsia="仿宋"/>
                <w:color w:val="auto"/>
                <w:sz w:val="24"/>
              </w:rPr>
            </w:pPr>
            <w:r>
              <w:rPr>
                <w:rFonts w:ascii="仿宋" w:hAnsi="仿宋" w:eastAsia="仿宋"/>
                <w:color w:val="auto"/>
                <w:sz w:val="24"/>
              </w:rPr>
              <w:t>双集群并行验证</w:t>
            </w:r>
          </w:p>
        </w:tc>
        <w:tc>
          <w:tcPr>
            <w:tcW w:w="887" w:type="pct"/>
          </w:tcPr>
          <w:p w14:paraId="19FAA09E">
            <w:pPr>
              <w:pStyle w:val="43"/>
              <w:rPr>
                <w:rFonts w:ascii="仿宋" w:hAnsi="仿宋" w:eastAsia="仿宋"/>
                <w:color w:val="auto"/>
                <w:sz w:val="24"/>
              </w:rPr>
            </w:pPr>
            <w:r>
              <w:rPr>
                <w:rFonts w:ascii="仿宋" w:hAnsi="仿宋" w:eastAsia="仿宋"/>
                <w:color w:val="auto"/>
                <w:sz w:val="24"/>
              </w:rPr>
              <w:t>第</w:t>
            </w:r>
            <w:r>
              <w:rPr>
                <w:rFonts w:hint="eastAsia" w:ascii="仿宋" w:hAnsi="仿宋" w:eastAsia="仿宋"/>
                <w:color w:val="auto"/>
                <w:sz w:val="24"/>
              </w:rPr>
              <w:t>2</w:t>
            </w:r>
            <w:r>
              <w:rPr>
                <w:rFonts w:ascii="仿宋" w:hAnsi="仿宋" w:eastAsia="仿宋"/>
                <w:color w:val="auto"/>
                <w:sz w:val="24"/>
              </w:rPr>
              <w:t>-</w:t>
            </w:r>
            <w:r>
              <w:rPr>
                <w:rFonts w:hint="eastAsia" w:ascii="仿宋" w:hAnsi="仿宋" w:eastAsia="仿宋"/>
                <w:color w:val="auto"/>
                <w:sz w:val="24"/>
              </w:rPr>
              <w:t>3</w:t>
            </w:r>
            <w:r>
              <w:rPr>
                <w:rFonts w:ascii="仿宋" w:hAnsi="仿宋" w:eastAsia="仿宋"/>
                <w:color w:val="auto"/>
                <w:sz w:val="24"/>
              </w:rPr>
              <w:t>个月</w:t>
            </w:r>
          </w:p>
        </w:tc>
        <w:tc>
          <w:tcPr>
            <w:tcW w:w="641" w:type="pct"/>
          </w:tcPr>
          <w:p w14:paraId="3EF097CD">
            <w:pPr>
              <w:pStyle w:val="43"/>
              <w:rPr>
                <w:rFonts w:ascii="仿宋" w:hAnsi="仿宋" w:eastAsia="仿宋"/>
                <w:color w:val="auto"/>
                <w:sz w:val="24"/>
              </w:rPr>
            </w:pPr>
            <w:r>
              <w:rPr>
                <w:rFonts w:ascii="仿宋" w:hAnsi="仿宋" w:eastAsia="仿宋"/>
                <w:color w:val="auto"/>
                <w:sz w:val="24"/>
              </w:rPr>
              <w:t>2个月</w:t>
            </w:r>
          </w:p>
        </w:tc>
        <w:tc>
          <w:tcPr>
            <w:tcW w:w="1581" w:type="pct"/>
          </w:tcPr>
          <w:p w14:paraId="2EFC7B79">
            <w:pPr>
              <w:pStyle w:val="43"/>
              <w:rPr>
                <w:rFonts w:ascii="仿宋" w:hAnsi="仿宋" w:eastAsia="仿宋"/>
                <w:color w:val="auto"/>
                <w:sz w:val="24"/>
              </w:rPr>
            </w:pPr>
            <w:r>
              <w:rPr>
                <w:rFonts w:ascii="仿宋" w:hAnsi="仿宋" w:eastAsia="仿宋"/>
                <w:color w:val="auto"/>
                <w:sz w:val="24"/>
              </w:rPr>
              <w:t>数据同步通道建立，计算作业影子运行通过</w:t>
            </w:r>
          </w:p>
        </w:tc>
      </w:tr>
      <w:tr w14:paraId="7CF37F6E">
        <w:tc>
          <w:tcPr>
            <w:tcW w:w="755" w:type="pct"/>
          </w:tcPr>
          <w:p w14:paraId="1F669E06">
            <w:pPr>
              <w:pStyle w:val="43"/>
              <w:rPr>
                <w:rFonts w:ascii="仿宋" w:hAnsi="仿宋" w:eastAsia="仿宋"/>
                <w:color w:val="auto"/>
                <w:sz w:val="24"/>
              </w:rPr>
            </w:pPr>
            <w:r>
              <w:rPr>
                <w:rFonts w:ascii="仿宋" w:hAnsi="仿宋" w:eastAsia="仿宋"/>
                <w:color w:val="auto"/>
                <w:sz w:val="24"/>
              </w:rPr>
              <w:t>第三阶段</w:t>
            </w:r>
          </w:p>
        </w:tc>
        <w:tc>
          <w:tcPr>
            <w:tcW w:w="1136" w:type="pct"/>
          </w:tcPr>
          <w:p w14:paraId="3EC9147C">
            <w:pPr>
              <w:pStyle w:val="43"/>
              <w:rPr>
                <w:rFonts w:ascii="仿宋" w:hAnsi="仿宋" w:eastAsia="仿宋"/>
                <w:color w:val="auto"/>
                <w:sz w:val="24"/>
              </w:rPr>
            </w:pPr>
            <w:r>
              <w:rPr>
                <w:rFonts w:ascii="仿宋" w:hAnsi="仿宋" w:eastAsia="仿宋"/>
                <w:color w:val="auto"/>
                <w:sz w:val="24"/>
              </w:rPr>
              <w:t>数据迁移与同步</w:t>
            </w:r>
          </w:p>
        </w:tc>
        <w:tc>
          <w:tcPr>
            <w:tcW w:w="887" w:type="pct"/>
          </w:tcPr>
          <w:p w14:paraId="4323BDC0">
            <w:pPr>
              <w:pStyle w:val="43"/>
              <w:rPr>
                <w:rFonts w:ascii="仿宋" w:hAnsi="仿宋" w:eastAsia="仿宋"/>
                <w:color w:val="auto"/>
                <w:sz w:val="24"/>
              </w:rPr>
            </w:pPr>
            <w:r>
              <w:rPr>
                <w:rFonts w:ascii="仿宋" w:hAnsi="仿宋" w:eastAsia="仿宋"/>
                <w:color w:val="auto"/>
                <w:sz w:val="24"/>
              </w:rPr>
              <w:t>第</w:t>
            </w:r>
            <w:r>
              <w:rPr>
                <w:rFonts w:hint="eastAsia" w:ascii="仿宋" w:hAnsi="仿宋" w:eastAsia="仿宋"/>
                <w:color w:val="auto"/>
                <w:sz w:val="24"/>
              </w:rPr>
              <w:t>2</w:t>
            </w:r>
            <w:r>
              <w:rPr>
                <w:rFonts w:ascii="仿宋" w:hAnsi="仿宋" w:eastAsia="仿宋"/>
                <w:color w:val="auto"/>
                <w:sz w:val="24"/>
              </w:rPr>
              <w:t>-</w:t>
            </w:r>
            <w:r>
              <w:rPr>
                <w:rFonts w:hint="eastAsia" w:ascii="仿宋" w:hAnsi="仿宋" w:eastAsia="仿宋"/>
                <w:color w:val="auto"/>
                <w:sz w:val="24"/>
              </w:rPr>
              <w:t>3</w:t>
            </w:r>
            <w:r>
              <w:rPr>
                <w:rFonts w:ascii="仿宋" w:hAnsi="仿宋" w:eastAsia="仿宋"/>
                <w:color w:val="auto"/>
                <w:sz w:val="24"/>
              </w:rPr>
              <w:t>个月</w:t>
            </w:r>
          </w:p>
        </w:tc>
        <w:tc>
          <w:tcPr>
            <w:tcW w:w="641" w:type="pct"/>
          </w:tcPr>
          <w:p w14:paraId="4D334D62">
            <w:pPr>
              <w:pStyle w:val="43"/>
              <w:rPr>
                <w:rFonts w:ascii="仿宋" w:hAnsi="仿宋" w:eastAsia="仿宋"/>
                <w:color w:val="auto"/>
                <w:sz w:val="24"/>
              </w:rPr>
            </w:pPr>
            <w:r>
              <w:rPr>
                <w:rFonts w:hint="eastAsia" w:ascii="仿宋" w:hAnsi="仿宋" w:eastAsia="仿宋"/>
                <w:color w:val="auto"/>
                <w:sz w:val="24"/>
              </w:rPr>
              <w:t>2</w:t>
            </w:r>
            <w:r>
              <w:rPr>
                <w:rFonts w:ascii="仿宋" w:hAnsi="仿宋" w:eastAsia="仿宋"/>
                <w:color w:val="auto"/>
                <w:sz w:val="24"/>
              </w:rPr>
              <w:t>个月</w:t>
            </w:r>
          </w:p>
        </w:tc>
        <w:tc>
          <w:tcPr>
            <w:tcW w:w="1581" w:type="pct"/>
          </w:tcPr>
          <w:p w14:paraId="442C9240">
            <w:pPr>
              <w:pStyle w:val="43"/>
              <w:rPr>
                <w:rFonts w:ascii="仿宋" w:hAnsi="仿宋" w:eastAsia="仿宋"/>
                <w:color w:val="auto"/>
                <w:sz w:val="24"/>
              </w:rPr>
            </w:pPr>
            <w:r>
              <w:rPr>
                <w:rFonts w:ascii="仿宋" w:hAnsi="仿宋" w:eastAsia="仿宋"/>
                <w:color w:val="auto"/>
                <w:sz w:val="24"/>
              </w:rPr>
              <w:t>全量数据迁移完成，数据校验通过</w:t>
            </w:r>
          </w:p>
        </w:tc>
      </w:tr>
      <w:tr w14:paraId="39D01A3B">
        <w:tc>
          <w:tcPr>
            <w:tcW w:w="755" w:type="pct"/>
          </w:tcPr>
          <w:p w14:paraId="246CAB87">
            <w:pPr>
              <w:pStyle w:val="43"/>
              <w:rPr>
                <w:rFonts w:ascii="仿宋" w:hAnsi="仿宋" w:eastAsia="仿宋"/>
                <w:color w:val="auto"/>
                <w:sz w:val="24"/>
              </w:rPr>
            </w:pPr>
            <w:r>
              <w:rPr>
                <w:rFonts w:ascii="仿宋" w:hAnsi="仿宋" w:eastAsia="仿宋"/>
                <w:color w:val="auto"/>
                <w:sz w:val="24"/>
              </w:rPr>
              <w:t>第四阶段</w:t>
            </w:r>
          </w:p>
        </w:tc>
        <w:tc>
          <w:tcPr>
            <w:tcW w:w="1136" w:type="pct"/>
          </w:tcPr>
          <w:p w14:paraId="77FD2A96">
            <w:pPr>
              <w:pStyle w:val="43"/>
              <w:rPr>
                <w:rFonts w:ascii="仿宋" w:hAnsi="仿宋" w:eastAsia="仿宋"/>
                <w:color w:val="auto"/>
                <w:sz w:val="24"/>
              </w:rPr>
            </w:pPr>
            <w:r>
              <w:rPr>
                <w:rFonts w:ascii="仿宋" w:hAnsi="仿宋" w:eastAsia="仿宋"/>
                <w:color w:val="auto"/>
                <w:sz w:val="24"/>
              </w:rPr>
              <w:t>业务灰度迁移</w:t>
            </w:r>
          </w:p>
        </w:tc>
        <w:tc>
          <w:tcPr>
            <w:tcW w:w="887" w:type="pct"/>
          </w:tcPr>
          <w:p w14:paraId="4657C6CF">
            <w:pPr>
              <w:pStyle w:val="43"/>
              <w:rPr>
                <w:rFonts w:ascii="仿宋" w:hAnsi="仿宋" w:eastAsia="仿宋"/>
                <w:color w:val="auto"/>
                <w:sz w:val="24"/>
              </w:rPr>
            </w:pPr>
            <w:r>
              <w:rPr>
                <w:rFonts w:ascii="仿宋" w:hAnsi="仿宋" w:eastAsia="仿宋"/>
                <w:color w:val="auto"/>
                <w:sz w:val="24"/>
              </w:rPr>
              <w:t>第</w:t>
            </w:r>
            <w:r>
              <w:rPr>
                <w:rFonts w:hint="eastAsia" w:ascii="仿宋" w:hAnsi="仿宋" w:eastAsia="仿宋"/>
                <w:color w:val="auto"/>
                <w:sz w:val="24"/>
              </w:rPr>
              <w:t>4</w:t>
            </w:r>
            <w:r>
              <w:rPr>
                <w:rFonts w:ascii="仿宋" w:hAnsi="仿宋" w:eastAsia="仿宋"/>
                <w:color w:val="auto"/>
                <w:sz w:val="24"/>
              </w:rPr>
              <w:t>个月</w:t>
            </w:r>
          </w:p>
        </w:tc>
        <w:tc>
          <w:tcPr>
            <w:tcW w:w="641" w:type="pct"/>
          </w:tcPr>
          <w:p w14:paraId="3072D907">
            <w:pPr>
              <w:pStyle w:val="43"/>
              <w:rPr>
                <w:rFonts w:ascii="仿宋" w:hAnsi="仿宋" w:eastAsia="仿宋"/>
                <w:color w:val="auto"/>
                <w:sz w:val="24"/>
              </w:rPr>
            </w:pPr>
            <w:r>
              <w:rPr>
                <w:rFonts w:hint="eastAsia" w:ascii="仿宋" w:hAnsi="仿宋" w:eastAsia="仿宋"/>
                <w:color w:val="auto"/>
                <w:sz w:val="24"/>
              </w:rPr>
              <w:t>4</w:t>
            </w:r>
            <w:r>
              <w:rPr>
                <w:rFonts w:ascii="仿宋" w:hAnsi="仿宋" w:eastAsia="仿宋"/>
                <w:color w:val="auto"/>
                <w:sz w:val="24"/>
              </w:rPr>
              <w:t>个月</w:t>
            </w:r>
          </w:p>
        </w:tc>
        <w:tc>
          <w:tcPr>
            <w:tcW w:w="1581" w:type="pct"/>
          </w:tcPr>
          <w:p w14:paraId="40FCB59D">
            <w:pPr>
              <w:pStyle w:val="43"/>
              <w:rPr>
                <w:rFonts w:ascii="仿宋" w:hAnsi="仿宋" w:eastAsia="仿宋"/>
                <w:color w:val="auto"/>
                <w:sz w:val="24"/>
              </w:rPr>
            </w:pPr>
            <w:r>
              <w:rPr>
                <w:rFonts w:ascii="仿宋" w:hAnsi="仿宋" w:eastAsia="仿宋"/>
                <w:color w:val="auto"/>
                <w:sz w:val="24"/>
              </w:rPr>
              <w:t>所有业务系统完成灰度切换</w:t>
            </w:r>
          </w:p>
        </w:tc>
      </w:tr>
      <w:tr w14:paraId="7F141791">
        <w:tc>
          <w:tcPr>
            <w:tcW w:w="755" w:type="pct"/>
          </w:tcPr>
          <w:p w14:paraId="7F8B2D3C">
            <w:pPr>
              <w:pStyle w:val="43"/>
              <w:rPr>
                <w:rFonts w:ascii="仿宋" w:hAnsi="仿宋" w:eastAsia="仿宋"/>
                <w:color w:val="auto"/>
                <w:sz w:val="24"/>
              </w:rPr>
            </w:pPr>
            <w:r>
              <w:rPr>
                <w:rFonts w:ascii="仿宋" w:hAnsi="仿宋" w:eastAsia="仿宋"/>
                <w:color w:val="auto"/>
                <w:sz w:val="24"/>
              </w:rPr>
              <w:t>第五阶段</w:t>
            </w:r>
          </w:p>
        </w:tc>
        <w:tc>
          <w:tcPr>
            <w:tcW w:w="1136" w:type="pct"/>
          </w:tcPr>
          <w:p w14:paraId="195354E7">
            <w:pPr>
              <w:pStyle w:val="43"/>
              <w:rPr>
                <w:rFonts w:ascii="仿宋" w:hAnsi="仿宋" w:eastAsia="仿宋"/>
                <w:color w:val="auto"/>
                <w:sz w:val="24"/>
              </w:rPr>
            </w:pPr>
            <w:r>
              <w:rPr>
                <w:rFonts w:ascii="仿宋" w:hAnsi="仿宋" w:eastAsia="仿宋"/>
                <w:color w:val="auto"/>
                <w:sz w:val="24"/>
              </w:rPr>
              <w:t>全量切换</w:t>
            </w:r>
          </w:p>
        </w:tc>
        <w:tc>
          <w:tcPr>
            <w:tcW w:w="887" w:type="pct"/>
          </w:tcPr>
          <w:p w14:paraId="2CECF05F">
            <w:pPr>
              <w:pStyle w:val="43"/>
              <w:rPr>
                <w:rFonts w:ascii="仿宋" w:hAnsi="仿宋" w:eastAsia="仿宋"/>
                <w:color w:val="auto"/>
                <w:sz w:val="24"/>
              </w:rPr>
            </w:pPr>
            <w:r>
              <w:rPr>
                <w:rFonts w:ascii="仿宋" w:hAnsi="仿宋" w:eastAsia="仿宋"/>
                <w:color w:val="auto"/>
                <w:sz w:val="24"/>
              </w:rPr>
              <w:t>第</w:t>
            </w:r>
            <w:r>
              <w:rPr>
                <w:rFonts w:hint="eastAsia" w:ascii="仿宋" w:hAnsi="仿宋" w:eastAsia="仿宋"/>
                <w:color w:val="auto"/>
                <w:sz w:val="24"/>
              </w:rPr>
              <w:t>5</w:t>
            </w:r>
            <w:r>
              <w:rPr>
                <w:rFonts w:ascii="仿宋" w:hAnsi="仿宋" w:eastAsia="仿宋"/>
                <w:color w:val="auto"/>
                <w:sz w:val="24"/>
              </w:rPr>
              <w:t>个月</w:t>
            </w:r>
          </w:p>
        </w:tc>
        <w:tc>
          <w:tcPr>
            <w:tcW w:w="641" w:type="pct"/>
          </w:tcPr>
          <w:p w14:paraId="18CE26CF">
            <w:pPr>
              <w:pStyle w:val="43"/>
              <w:rPr>
                <w:rFonts w:ascii="仿宋" w:hAnsi="仿宋" w:eastAsia="仿宋"/>
                <w:color w:val="auto"/>
                <w:sz w:val="24"/>
              </w:rPr>
            </w:pPr>
            <w:r>
              <w:rPr>
                <w:rFonts w:hint="eastAsia" w:ascii="仿宋" w:hAnsi="仿宋" w:eastAsia="仿宋"/>
                <w:color w:val="auto"/>
                <w:sz w:val="24"/>
              </w:rPr>
              <w:t>5</w:t>
            </w:r>
            <w:r>
              <w:rPr>
                <w:rFonts w:ascii="仿宋" w:hAnsi="仿宋" w:eastAsia="仿宋"/>
                <w:color w:val="auto"/>
                <w:sz w:val="24"/>
              </w:rPr>
              <w:t>个月</w:t>
            </w:r>
          </w:p>
        </w:tc>
        <w:tc>
          <w:tcPr>
            <w:tcW w:w="1581" w:type="pct"/>
          </w:tcPr>
          <w:p w14:paraId="37B392D0">
            <w:pPr>
              <w:pStyle w:val="43"/>
              <w:rPr>
                <w:rFonts w:ascii="仿宋" w:hAnsi="仿宋" w:eastAsia="仿宋"/>
                <w:color w:val="auto"/>
                <w:sz w:val="24"/>
              </w:rPr>
            </w:pPr>
            <w:r>
              <w:rPr>
                <w:rFonts w:ascii="仿宋" w:hAnsi="仿宋" w:eastAsia="仿宋"/>
                <w:color w:val="auto"/>
                <w:sz w:val="24"/>
              </w:rPr>
              <w:t>新集群承接100%生产流量</w:t>
            </w:r>
          </w:p>
        </w:tc>
      </w:tr>
      <w:tr w14:paraId="6448C174">
        <w:tc>
          <w:tcPr>
            <w:tcW w:w="755" w:type="pct"/>
          </w:tcPr>
          <w:p w14:paraId="40D905FE">
            <w:pPr>
              <w:pStyle w:val="43"/>
              <w:rPr>
                <w:rFonts w:ascii="仿宋" w:hAnsi="仿宋" w:eastAsia="仿宋"/>
                <w:color w:val="auto"/>
                <w:sz w:val="24"/>
              </w:rPr>
            </w:pPr>
            <w:r>
              <w:rPr>
                <w:rFonts w:ascii="仿宋" w:hAnsi="仿宋" w:eastAsia="仿宋"/>
                <w:color w:val="auto"/>
                <w:sz w:val="24"/>
              </w:rPr>
              <w:t>第六阶段</w:t>
            </w:r>
          </w:p>
        </w:tc>
        <w:tc>
          <w:tcPr>
            <w:tcW w:w="1136" w:type="pct"/>
          </w:tcPr>
          <w:p w14:paraId="60C7C5E7">
            <w:pPr>
              <w:pStyle w:val="43"/>
              <w:rPr>
                <w:rFonts w:ascii="仿宋" w:hAnsi="仿宋" w:eastAsia="仿宋"/>
                <w:color w:val="auto"/>
                <w:sz w:val="24"/>
              </w:rPr>
            </w:pPr>
            <w:r>
              <w:rPr>
                <w:rFonts w:ascii="仿宋" w:hAnsi="仿宋" w:eastAsia="仿宋"/>
                <w:color w:val="auto"/>
                <w:sz w:val="24"/>
              </w:rPr>
              <w:t>旧平台下线</w:t>
            </w:r>
          </w:p>
        </w:tc>
        <w:tc>
          <w:tcPr>
            <w:tcW w:w="887" w:type="pct"/>
          </w:tcPr>
          <w:p w14:paraId="6B000695">
            <w:pPr>
              <w:pStyle w:val="43"/>
              <w:rPr>
                <w:rFonts w:ascii="仿宋" w:hAnsi="仿宋" w:eastAsia="仿宋"/>
                <w:color w:val="auto"/>
                <w:sz w:val="24"/>
              </w:rPr>
            </w:pPr>
            <w:r>
              <w:rPr>
                <w:rFonts w:ascii="仿宋" w:hAnsi="仿宋" w:eastAsia="仿宋"/>
                <w:color w:val="auto"/>
                <w:sz w:val="24"/>
              </w:rPr>
              <w:t>第</w:t>
            </w:r>
            <w:r>
              <w:rPr>
                <w:rFonts w:hint="eastAsia" w:ascii="仿宋" w:hAnsi="仿宋" w:eastAsia="仿宋"/>
                <w:color w:val="auto"/>
                <w:sz w:val="24"/>
              </w:rPr>
              <w:t>6</w:t>
            </w:r>
            <w:r>
              <w:rPr>
                <w:rFonts w:ascii="仿宋" w:hAnsi="仿宋" w:eastAsia="仿宋"/>
                <w:color w:val="auto"/>
                <w:sz w:val="24"/>
              </w:rPr>
              <w:t>个月</w:t>
            </w:r>
          </w:p>
        </w:tc>
        <w:tc>
          <w:tcPr>
            <w:tcW w:w="641" w:type="pct"/>
          </w:tcPr>
          <w:p w14:paraId="7B096FE5">
            <w:pPr>
              <w:pStyle w:val="43"/>
              <w:rPr>
                <w:rFonts w:ascii="仿宋" w:hAnsi="仿宋" w:eastAsia="仿宋"/>
                <w:color w:val="auto"/>
                <w:sz w:val="24"/>
              </w:rPr>
            </w:pPr>
            <w:r>
              <w:rPr>
                <w:rFonts w:hint="eastAsia" w:ascii="仿宋" w:hAnsi="仿宋" w:eastAsia="仿宋"/>
                <w:color w:val="auto"/>
                <w:sz w:val="24"/>
              </w:rPr>
              <w:t>6</w:t>
            </w:r>
            <w:r>
              <w:rPr>
                <w:rFonts w:ascii="仿宋" w:hAnsi="仿宋" w:eastAsia="仿宋"/>
                <w:color w:val="auto"/>
                <w:sz w:val="24"/>
              </w:rPr>
              <w:t>个月</w:t>
            </w:r>
          </w:p>
        </w:tc>
        <w:tc>
          <w:tcPr>
            <w:tcW w:w="1581" w:type="pct"/>
          </w:tcPr>
          <w:p w14:paraId="3416A871">
            <w:pPr>
              <w:pStyle w:val="43"/>
              <w:rPr>
                <w:rFonts w:ascii="仿宋" w:hAnsi="仿宋" w:eastAsia="仿宋"/>
                <w:color w:val="auto"/>
                <w:sz w:val="24"/>
              </w:rPr>
            </w:pPr>
            <w:r>
              <w:rPr>
                <w:rFonts w:ascii="仿宋" w:hAnsi="仿宋" w:eastAsia="仿宋"/>
                <w:color w:val="auto"/>
                <w:sz w:val="24"/>
              </w:rPr>
              <w:t>旧集群节点有序下线，项目验收</w:t>
            </w:r>
          </w:p>
        </w:tc>
      </w:tr>
    </w:tbl>
    <w:p w14:paraId="56326724">
      <w:pPr>
        <w:spacing w:before="80" w:after="80"/>
        <w:rPr>
          <w:rFonts w:hint="eastAsia"/>
          <w:color w:val="auto"/>
        </w:rPr>
      </w:pPr>
    </w:p>
    <w:p w14:paraId="66ABAE69">
      <w:pPr>
        <w:pStyle w:val="5"/>
        <w:rPr>
          <w:rFonts w:hint="eastAsia"/>
          <w:color w:val="auto"/>
        </w:rPr>
      </w:pPr>
      <w:r>
        <w:rPr>
          <w:color w:val="auto"/>
        </w:rPr>
        <w:t>第一阶段：环境建设与信创节点纳管</w:t>
      </w:r>
    </w:p>
    <w:p w14:paraId="634EE648">
      <w:pPr>
        <w:pStyle w:val="42"/>
        <w:jc w:val="both"/>
        <w:rPr>
          <w:rFonts w:hint="eastAsia"/>
          <w:color w:val="auto"/>
        </w:rPr>
      </w:pPr>
      <w:r>
        <w:rPr>
          <w:bCs/>
          <w:color w:val="auto"/>
        </w:rPr>
        <w:t>工作内容</w:t>
      </w:r>
    </w:p>
    <w:p w14:paraId="64E546D3">
      <w:pPr>
        <w:pStyle w:val="35"/>
        <w:widowControl/>
        <w:numPr>
          <w:ilvl w:val="0"/>
          <w:numId w:val="5"/>
        </w:numPr>
        <w:ind w:left="840" w:hanging="420"/>
        <w:contextualSpacing w:val="0"/>
        <w:rPr>
          <w:rFonts w:hint="eastAsia"/>
          <w:color w:val="auto"/>
        </w:rPr>
      </w:pPr>
      <w:r>
        <w:rPr>
          <w:rFonts w:ascii="仿宋" w:hAnsi="仿宋" w:cs="仿宋"/>
          <w:color w:val="auto"/>
          <w:szCs w:val="22"/>
        </w:rPr>
        <w:t>ARM服务器到货验收，机架上架，带外网络配置</w:t>
      </w:r>
    </w:p>
    <w:p w14:paraId="4ADAF15B">
      <w:pPr>
        <w:pStyle w:val="35"/>
        <w:widowControl/>
        <w:numPr>
          <w:ilvl w:val="0"/>
          <w:numId w:val="5"/>
        </w:numPr>
        <w:ind w:left="840" w:hanging="420"/>
        <w:contextualSpacing w:val="0"/>
        <w:rPr>
          <w:rFonts w:hint="eastAsia"/>
          <w:color w:val="auto"/>
        </w:rPr>
      </w:pPr>
      <w:r>
        <w:rPr>
          <w:rFonts w:ascii="仿宋" w:hAnsi="仿宋" w:cs="仿宋"/>
          <w:color w:val="auto"/>
          <w:szCs w:val="22"/>
        </w:rPr>
        <w:t>安装国产OS（麒麟V10），完成操作系统安全基线配置</w:t>
      </w:r>
    </w:p>
    <w:p w14:paraId="4C6A0EB1">
      <w:pPr>
        <w:pStyle w:val="35"/>
        <w:widowControl/>
        <w:numPr>
          <w:ilvl w:val="0"/>
          <w:numId w:val="5"/>
        </w:numPr>
        <w:ind w:left="840" w:hanging="420"/>
        <w:contextualSpacing w:val="0"/>
        <w:rPr>
          <w:rFonts w:hint="eastAsia"/>
          <w:color w:val="auto"/>
        </w:rPr>
      </w:pPr>
      <w:r>
        <w:rPr>
          <w:rFonts w:ascii="仿宋" w:hAnsi="仿宋" w:cs="仿宋"/>
          <w:color w:val="auto"/>
          <w:szCs w:val="22"/>
        </w:rPr>
        <w:t xml:space="preserve">部署TDH 9.3发行版（HDFS + YARN + HMS + HBase + </w:t>
      </w:r>
      <w:r>
        <w:rPr>
          <w:rFonts w:hint="eastAsia" w:cs="仿宋"/>
          <w:color w:val="auto"/>
          <w:szCs w:val="22"/>
        </w:rPr>
        <w:t>Slipstream</w:t>
      </w:r>
      <w:r>
        <w:rPr>
          <w:rFonts w:ascii="仿宋" w:hAnsi="仿宋" w:cs="仿宋"/>
          <w:color w:val="auto"/>
          <w:szCs w:val="22"/>
        </w:rPr>
        <w:t>组件）</w:t>
      </w:r>
    </w:p>
    <w:p w14:paraId="1BC285F4">
      <w:pPr>
        <w:pStyle w:val="35"/>
        <w:widowControl/>
        <w:numPr>
          <w:ilvl w:val="0"/>
          <w:numId w:val="5"/>
        </w:numPr>
        <w:ind w:left="840" w:hanging="420"/>
        <w:contextualSpacing w:val="0"/>
        <w:rPr>
          <w:rFonts w:hint="eastAsia"/>
          <w:color w:val="auto"/>
        </w:rPr>
      </w:pPr>
      <w:r>
        <w:rPr>
          <w:rFonts w:ascii="仿宋" w:hAnsi="仿宋" w:cs="仿宋"/>
          <w:color w:val="auto"/>
          <w:szCs w:val="22"/>
        </w:rPr>
        <w:t>部署ArgoDB 6.2集群（FE + BE节点初始化）</w:t>
      </w:r>
    </w:p>
    <w:p w14:paraId="10999977">
      <w:pPr>
        <w:pStyle w:val="35"/>
        <w:widowControl/>
        <w:numPr>
          <w:ilvl w:val="0"/>
          <w:numId w:val="5"/>
        </w:numPr>
        <w:ind w:left="840" w:hanging="420"/>
        <w:contextualSpacing w:val="0"/>
        <w:rPr>
          <w:rFonts w:hint="eastAsia"/>
          <w:color w:val="auto"/>
        </w:rPr>
      </w:pPr>
      <w:r>
        <w:rPr>
          <w:rFonts w:ascii="仿宋" w:hAnsi="仿宋" w:cs="仿宋"/>
          <w:color w:val="auto"/>
          <w:szCs w:val="22"/>
        </w:rPr>
        <w:t>部署TDC 5.1管控平台，纳管新集群节点</w:t>
      </w:r>
    </w:p>
    <w:p w14:paraId="6FA12A11">
      <w:pPr>
        <w:pStyle w:val="35"/>
        <w:widowControl/>
        <w:numPr>
          <w:ilvl w:val="0"/>
          <w:numId w:val="5"/>
        </w:numPr>
        <w:ind w:left="840" w:hanging="420"/>
        <w:contextualSpacing w:val="0"/>
        <w:rPr>
          <w:rFonts w:hint="eastAsia"/>
          <w:color w:val="auto"/>
        </w:rPr>
      </w:pPr>
      <w:r>
        <w:rPr>
          <w:rFonts w:ascii="仿宋" w:hAnsi="仿宋" w:cs="仿宋"/>
          <w:color w:val="auto"/>
          <w:szCs w:val="22"/>
        </w:rPr>
        <w:t>完成ARM适配测试（组件功能验证 + 性能基准测试）</w:t>
      </w:r>
    </w:p>
    <w:p w14:paraId="14D7C517">
      <w:pPr>
        <w:pStyle w:val="35"/>
        <w:widowControl/>
        <w:numPr>
          <w:ilvl w:val="0"/>
          <w:numId w:val="5"/>
        </w:numPr>
        <w:ind w:left="840" w:hanging="420"/>
        <w:contextualSpacing w:val="0"/>
        <w:rPr>
          <w:rFonts w:hint="eastAsia"/>
          <w:color w:val="auto"/>
        </w:rPr>
      </w:pPr>
      <w:r>
        <w:rPr>
          <w:rFonts w:ascii="仿宋" w:hAnsi="仿宋" w:cs="仿宋"/>
          <w:color w:val="auto"/>
          <w:szCs w:val="22"/>
        </w:rPr>
        <w:t>配置集群内部网络（数据网/管理网/存储网分离）</w:t>
      </w:r>
    </w:p>
    <w:p w14:paraId="34B0C106">
      <w:pPr>
        <w:pStyle w:val="35"/>
        <w:widowControl/>
        <w:numPr>
          <w:ilvl w:val="0"/>
          <w:numId w:val="5"/>
        </w:numPr>
        <w:ind w:left="840" w:hanging="420"/>
        <w:contextualSpacing w:val="0"/>
        <w:rPr>
          <w:rFonts w:hint="eastAsia"/>
          <w:color w:val="auto"/>
        </w:rPr>
      </w:pPr>
      <w:r>
        <w:rPr>
          <w:rFonts w:ascii="仿宋" w:hAnsi="仿宋" w:cs="仿宋"/>
          <w:color w:val="auto"/>
          <w:szCs w:val="22"/>
        </w:rPr>
        <w:t>部署监控系统（Prometheus + Grafana），建立基础告警规则</w:t>
      </w:r>
    </w:p>
    <w:p w14:paraId="7BE9C976">
      <w:pPr>
        <w:pStyle w:val="42"/>
        <w:jc w:val="both"/>
        <w:rPr>
          <w:rFonts w:hint="eastAsia"/>
          <w:color w:val="auto"/>
        </w:rPr>
      </w:pPr>
      <w:r>
        <w:rPr>
          <w:bCs/>
          <w:color w:val="auto"/>
        </w:rPr>
        <w:t>时间周期</w:t>
      </w:r>
    </w:p>
    <w:p w14:paraId="52E29C3E">
      <w:pPr>
        <w:pStyle w:val="42"/>
        <w:jc w:val="both"/>
        <w:rPr>
          <w:rFonts w:hint="eastAsia"/>
          <w:color w:val="auto"/>
        </w:rPr>
      </w:pPr>
      <w:r>
        <w:rPr>
          <w:color w:val="auto"/>
          <w:szCs w:val="22"/>
        </w:rPr>
        <w:t>计划2个月，第1个月完成硬件部署和OS配置；第2个月完成软件部署和适配测试。</w:t>
      </w:r>
    </w:p>
    <w:p w14:paraId="5A90D169">
      <w:pPr>
        <w:pStyle w:val="42"/>
        <w:jc w:val="both"/>
        <w:rPr>
          <w:rFonts w:hint="eastAsia"/>
          <w:color w:val="auto"/>
        </w:rPr>
      </w:pPr>
      <w:r>
        <w:rPr>
          <w:bCs/>
          <w:color w:val="auto"/>
        </w:rPr>
        <w:t>人员分工</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0"/>
        <w:gridCol w:w="2184"/>
        <w:gridCol w:w="3868"/>
      </w:tblGrid>
      <w:tr w14:paraId="234FA84B">
        <w:tc>
          <w:tcPr>
            <w:tcW w:w="1449" w:type="pct"/>
          </w:tcPr>
          <w:p w14:paraId="00BE8FA7">
            <w:pPr>
              <w:pStyle w:val="43"/>
              <w:jc w:val="center"/>
              <w:rPr>
                <w:rFonts w:ascii="仿宋" w:hAnsi="仿宋" w:eastAsia="仿宋"/>
                <w:color w:val="auto"/>
                <w:sz w:val="24"/>
              </w:rPr>
            </w:pPr>
            <w:r>
              <w:rPr>
                <w:rFonts w:ascii="仿宋" w:hAnsi="仿宋" w:eastAsia="仿宋"/>
                <w:bCs/>
                <w:color w:val="auto"/>
                <w:sz w:val="24"/>
              </w:rPr>
              <w:t>角色</w:t>
            </w:r>
          </w:p>
        </w:tc>
        <w:tc>
          <w:tcPr>
            <w:tcW w:w="1281" w:type="pct"/>
          </w:tcPr>
          <w:p w14:paraId="2999995D">
            <w:pPr>
              <w:pStyle w:val="43"/>
              <w:jc w:val="center"/>
              <w:rPr>
                <w:rFonts w:ascii="仿宋" w:hAnsi="仿宋" w:eastAsia="仿宋"/>
                <w:color w:val="auto"/>
                <w:sz w:val="24"/>
              </w:rPr>
            </w:pPr>
            <w:r>
              <w:rPr>
                <w:rFonts w:ascii="仿宋" w:hAnsi="仿宋" w:eastAsia="仿宋"/>
                <w:bCs/>
                <w:color w:val="auto"/>
                <w:sz w:val="24"/>
              </w:rPr>
              <w:t>人员</w:t>
            </w:r>
          </w:p>
        </w:tc>
        <w:tc>
          <w:tcPr>
            <w:tcW w:w="2269" w:type="pct"/>
          </w:tcPr>
          <w:p w14:paraId="049D5843">
            <w:pPr>
              <w:pStyle w:val="43"/>
              <w:jc w:val="center"/>
              <w:rPr>
                <w:rFonts w:ascii="仿宋" w:hAnsi="仿宋" w:eastAsia="仿宋"/>
                <w:color w:val="auto"/>
                <w:sz w:val="24"/>
              </w:rPr>
            </w:pPr>
            <w:r>
              <w:rPr>
                <w:rFonts w:ascii="仿宋" w:hAnsi="仿宋" w:eastAsia="仿宋"/>
                <w:bCs/>
                <w:color w:val="auto"/>
                <w:sz w:val="24"/>
              </w:rPr>
              <w:t>职责</w:t>
            </w:r>
          </w:p>
        </w:tc>
      </w:tr>
      <w:tr w14:paraId="14C86B29">
        <w:tc>
          <w:tcPr>
            <w:tcW w:w="1449" w:type="pct"/>
          </w:tcPr>
          <w:p w14:paraId="41F80BF1">
            <w:pPr>
              <w:pStyle w:val="43"/>
              <w:jc w:val="center"/>
              <w:rPr>
                <w:rFonts w:ascii="仿宋" w:hAnsi="仿宋" w:eastAsia="仿宋"/>
                <w:color w:val="auto"/>
                <w:sz w:val="24"/>
              </w:rPr>
            </w:pPr>
            <w:r>
              <w:rPr>
                <w:rFonts w:ascii="仿宋" w:hAnsi="仿宋" w:eastAsia="仿宋"/>
                <w:color w:val="auto"/>
                <w:sz w:val="24"/>
              </w:rPr>
              <w:t>项目经理</w:t>
            </w:r>
          </w:p>
        </w:tc>
        <w:tc>
          <w:tcPr>
            <w:tcW w:w="1281" w:type="pct"/>
          </w:tcPr>
          <w:p w14:paraId="63EEF1B4">
            <w:pPr>
              <w:pStyle w:val="43"/>
              <w:jc w:val="center"/>
              <w:rPr>
                <w:rFonts w:ascii="仿宋" w:hAnsi="仿宋" w:eastAsia="仿宋"/>
                <w:color w:val="auto"/>
                <w:sz w:val="24"/>
              </w:rPr>
            </w:pPr>
            <w:r>
              <w:rPr>
                <w:rFonts w:ascii="仿宋" w:hAnsi="仿宋" w:eastAsia="仿宋"/>
                <w:color w:val="auto"/>
                <w:sz w:val="24"/>
              </w:rPr>
              <w:t>1人</w:t>
            </w:r>
          </w:p>
        </w:tc>
        <w:tc>
          <w:tcPr>
            <w:tcW w:w="2269" w:type="pct"/>
          </w:tcPr>
          <w:p w14:paraId="60BB841E">
            <w:pPr>
              <w:pStyle w:val="43"/>
              <w:rPr>
                <w:rFonts w:ascii="仿宋" w:hAnsi="仿宋" w:eastAsia="仿宋"/>
                <w:color w:val="auto"/>
                <w:sz w:val="24"/>
              </w:rPr>
            </w:pPr>
            <w:r>
              <w:rPr>
                <w:rFonts w:ascii="仿宋" w:hAnsi="仿宋" w:eastAsia="仿宋"/>
                <w:color w:val="auto"/>
                <w:sz w:val="24"/>
              </w:rPr>
              <w:t>进度管控、资源协调、风险识别</w:t>
            </w:r>
          </w:p>
        </w:tc>
      </w:tr>
      <w:tr w14:paraId="5FF08FCF">
        <w:tc>
          <w:tcPr>
            <w:tcW w:w="1449" w:type="pct"/>
          </w:tcPr>
          <w:p w14:paraId="67C3CBD3">
            <w:pPr>
              <w:pStyle w:val="43"/>
              <w:jc w:val="center"/>
              <w:rPr>
                <w:rFonts w:ascii="仿宋" w:hAnsi="仿宋" w:eastAsia="仿宋"/>
                <w:color w:val="auto"/>
                <w:sz w:val="24"/>
              </w:rPr>
            </w:pPr>
            <w:r>
              <w:rPr>
                <w:rFonts w:ascii="仿宋" w:hAnsi="仿宋" w:eastAsia="仿宋"/>
                <w:color w:val="auto"/>
                <w:sz w:val="24"/>
              </w:rPr>
              <w:t>平台架构师</w:t>
            </w:r>
          </w:p>
        </w:tc>
        <w:tc>
          <w:tcPr>
            <w:tcW w:w="1281" w:type="pct"/>
          </w:tcPr>
          <w:p w14:paraId="5D6F45E0">
            <w:pPr>
              <w:pStyle w:val="43"/>
              <w:jc w:val="center"/>
              <w:rPr>
                <w:rFonts w:ascii="仿宋" w:hAnsi="仿宋" w:eastAsia="仿宋"/>
                <w:color w:val="auto"/>
                <w:sz w:val="24"/>
              </w:rPr>
            </w:pPr>
            <w:r>
              <w:rPr>
                <w:rFonts w:ascii="仿宋" w:hAnsi="仿宋" w:eastAsia="仿宋"/>
                <w:color w:val="auto"/>
                <w:sz w:val="24"/>
              </w:rPr>
              <w:t>1人</w:t>
            </w:r>
          </w:p>
        </w:tc>
        <w:tc>
          <w:tcPr>
            <w:tcW w:w="2269" w:type="pct"/>
          </w:tcPr>
          <w:p w14:paraId="10D8959E">
            <w:pPr>
              <w:pStyle w:val="43"/>
              <w:rPr>
                <w:rFonts w:ascii="仿宋" w:hAnsi="仿宋" w:eastAsia="仿宋"/>
                <w:color w:val="auto"/>
                <w:sz w:val="24"/>
              </w:rPr>
            </w:pPr>
            <w:r>
              <w:rPr>
                <w:rFonts w:ascii="仿宋" w:hAnsi="仿宋" w:eastAsia="仿宋"/>
                <w:color w:val="auto"/>
                <w:sz w:val="24"/>
              </w:rPr>
              <w:t>集群架构设计、技术决策</w:t>
            </w:r>
          </w:p>
        </w:tc>
      </w:tr>
      <w:tr w14:paraId="34CBF135">
        <w:tc>
          <w:tcPr>
            <w:tcW w:w="1449" w:type="pct"/>
          </w:tcPr>
          <w:p w14:paraId="2AC9E7FE">
            <w:pPr>
              <w:pStyle w:val="43"/>
              <w:jc w:val="center"/>
              <w:rPr>
                <w:rFonts w:ascii="仿宋" w:hAnsi="仿宋" w:eastAsia="仿宋"/>
                <w:color w:val="auto"/>
                <w:sz w:val="24"/>
              </w:rPr>
            </w:pPr>
            <w:r>
              <w:rPr>
                <w:rFonts w:ascii="仿宋" w:hAnsi="仿宋" w:eastAsia="仿宋"/>
                <w:color w:val="auto"/>
                <w:sz w:val="24"/>
              </w:rPr>
              <w:t>TDH实施工程师</w:t>
            </w:r>
          </w:p>
        </w:tc>
        <w:tc>
          <w:tcPr>
            <w:tcW w:w="1281" w:type="pct"/>
          </w:tcPr>
          <w:p w14:paraId="1ED5D56A">
            <w:pPr>
              <w:pStyle w:val="43"/>
              <w:jc w:val="center"/>
              <w:rPr>
                <w:rFonts w:ascii="仿宋" w:hAnsi="仿宋" w:eastAsia="仿宋"/>
                <w:color w:val="auto"/>
                <w:sz w:val="24"/>
              </w:rPr>
            </w:pPr>
            <w:r>
              <w:rPr>
                <w:rFonts w:ascii="仿宋" w:hAnsi="仿宋" w:eastAsia="仿宋"/>
                <w:color w:val="auto"/>
                <w:sz w:val="24"/>
              </w:rPr>
              <w:t>2人</w:t>
            </w:r>
          </w:p>
        </w:tc>
        <w:tc>
          <w:tcPr>
            <w:tcW w:w="2269" w:type="pct"/>
          </w:tcPr>
          <w:p w14:paraId="0C690AB1">
            <w:pPr>
              <w:pStyle w:val="43"/>
              <w:rPr>
                <w:rFonts w:ascii="仿宋" w:hAnsi="仿宋" w:eastAsia="仿宋"/>
                <w:color w:val="auto"/>
                <w:sz w:val="24"/>
              </w:rPr>
            </w:pPr>
            <w:r>
              <w:rPr>
                <w:rFonts w:ascii="仿宋" w:hAnsi="仿宋" w:eastAsia="仿宋"/>
                <w:color w:val="auto"/>
                <w:sz w:val="24"/>
              </w:rPr>
              <w:t>TDH 9.3、HDFS、YARN部署配置</w:t>
            </w:r>
          </w:p>
        </w:tc>
      </w:tr>
      <w:tr w14:paraId="2C4068B2">
        <w:tc>
          <w:tcPr>
            <w:tcW w:w="1449" w:type="pct"/>
          </w:tcPr>
          <w:p w14:paraId="0EF14DFB">
            <w:pPr>
              <w:pStyle w:val="43"/>
              <w:jc w:val="center"/>
              <w:rPr>
                <w:rFonts w:ascii="仿宋" w:hAnsi="仿宋" w:eastAsia="仿宋"/>
                <w:color w:val="auto"/>
                <w:sz w:val="24"/>
              </w:rPr>
            </w:pPr>
            <w:r>
              <w:rPr>
                <w:rFonts w:ascii="仿宋" w:hAnsi="仿宋" w:eastAsia="仿宋"/>
                <w:color w:val="auto"/>
                <w:sz w:val="24"/>
              </w:rPr>
              <w:t>ArgoDB工程师</w:t>
            </w:r>
          </w:p>
        </w:tc>
        <w:tc>
          <w:tcPr>
            <w:tcW w:w="1281" w:type="pct"/>
          </w:tcPr>
          <w:p w14:paraId="5A4953D9">
            <w:pPr>
              <w:pStyle w:val="43"/>
              <w:jc w:val="center"/>
              <w:rPr>
                <w:rFonts w:ascii="仿宋" w:hAnsi="仿宋" w:eastAsia="仿宋"/>
                <w:color w:val="auto"/>
                <w:sz w:val="24"/>
              </w:rPr>
            </w:pPr>
            <w:r>
              <w:rPr>
                <w:rFonts w:ascii="仿宋" w:hAnsi="仿宋" w:eastAsia="仿宋"/>
                <w:color w:val="auto"/>
                <w:sz w:val="24"/>
              </w:rPr>
              <w:t>2人</w:t>
            </w:r>
          </w:p>
        </w:tc>
        <w:tc>
          <w:tcPr>
            <w:tcW w:w="2269" w:type="pct"/>
          </w:tcPr>
          <w:p w14:paraId="4A22987A">
            <w:pPr>
              <w:pStyle w:val="43"/>
              <w:rPr>
                <w:rFonts w:ascii="仿宋" w:hAnsi="仿宋" w:eastAsia="仿宋"/>
                <w:color w:val="auto"/>
                <w:sz w:val="24"/>
              </w:rPr>
            </w:pPr>
            <w:r>
              <w:rPr>
                <w:rFonts w:ascii="仿宋" w:hAnsi="仿宋" w:eastAsia="仿宋"/>
                <w:color w:val="auto"/>
                <w:sz w:val="24"/>
              </w:rPr>
              <w:t>ArgoDB 6.2部署、性能调优</w:t>
            </w:r>
          </w:p>
        </w:tc>
      </w:tr>
      <w:tr w14:paraId="5CA79EC1">
        <w:tc>
          <w:tcPr>
            <w:tcW w:w="1449" w:type="pct"/>
          </w:tcPr>
          <w:p w14:paraId="3DFD4F7A">
            <w:pPr>
              <w:pStyle w:val="43"/>
              <w:jc w:val="center"/>
              <w:rPr>
                <w:rFonts w:ascii="仿宋" w:hAnsi="仿宋" w:eastAsia="仿宋"/>
                <w:color w:val="auto"/>
                <w:sz w:val="24"/>
              </w:rPr>
            </w:pPr>
            <w:r>
              <w:rPr>
                <w:rFonts w:ascii="仿宋" w:hAnsi="仿宋" w:eastAsia="仿宋"/>
                <w:color w:val="auto"/>
                <w:sz w:val="24"/>
              </w:rPr>
              <w:t>信创适配工程师</w:t>
            </w:r>
          </w:p>
        </w:tc>
        <w:tc>
          <w:tcPr>
            <w:tcW w:w="1281" w:type="pct"/>
          </w:tcPr>
          <w:p w14:paraId="39DEDADB">
            <w:pPr>
              <w:pStyle w:val="43"/>
              <w:jc w:val="center"/>
              <w:rPr>
                <w:rFonts w:ascii="仿宋" w:hAnsi="仿宋" w:eastAsia="仿宋"/>
                <w:color w:val="auto"/>
                <w:sz w:val="24"/>
              </w:rPr>
            </w:pPr>
            <w:r>
              <w:rPr>
                <w:rFonts w:ascii="仿宋" w:hAnsi="仿宋" w:eastAsia="仿宋"/>
                <w:color w:val="auto"/>
                <w:sz w:val="24"/>
              </w:rPr>
              <w:t>1人</w:t>
            </w:r>
          </w:p>
        </w:tc>
        <w:tc>
          <w:tcPr>
            <w:tcW w:w="2269" w:type="pct"/>
          </w:tcPr>
          <w:p w14:paraId="357ECDBD">
            <w:pPr>
              <w:pStyle w:val="43"/>
              <w:rPr>
                <w:rFonts w:ascii="仿宋" w:hAnsi="仿宋" w:eastAsia="仿宋"/>
                <w:color w:val="auto"/>
                <w:sz w:val="24"/>
              </w:rPr>
            </w:pPr>
            <w:r>
              <w:rPr>
                <w:rFonts w:ascii="仿宋" w:hAnsi="仿宋" w:eastAsia="仿宋"/>
                <w:color w:val="auto"/>
                <w:sz w:val="24"/>
              </w:rPr>
              <w:t>ARM适配、OS配置、性能基准</w:t>
            </w:r>
          </w:p>
        </w:tc>
      </w:tr>
      <w:tr w14:paraId="543D34FD">
        <w:tc>
          <w:tcPr>
            <w:tcW w:w="1449" w:type="pct"/>
          </w:tcPr>
          <w:p w14:paraId="25823CD0">
            <w:pPr>
              <w:pStyle w:val="43"/>
              <w:jc w:val="center"/>
              <w:rPr>
                <w:rFonts w:ascii="仿宋" w:hAnsi="仿宋" w:eastAsia="仿宋"/>
                <w:color w:val="auto"/>
                <w:sz w:val="24"/>
              </w:rPr>
            </w:pPr>
            <w:r>
              <w:rPr>
                <w:rFonts w:ascii="仿宋" w:hAnsi="仿宋" w:eastAsia="仿宋"/>
                <w:color w:val="auto"/>
                <w:sz w:val="24"/>
              </w:rPr>
              <w:t>安全工程师</w:t>
            </w:r>
          </w:p>
        </w:tc>
        <w:tc>
          <w:tcPr>
            <w:tcW w:w="1281" w:type="pct"/>
          </w:tcPr>
          <w:p w14:paraId="1063C438">
            <w:pPr>
              <w:pStyle w:val="43"/>
              <w:jc w:val="center"/>
              <w:rPr>
                <w:rFonts w:ascii="仿宋" w:hAnsi="仿宋" w:eastAsia="仿宋"/>
                <w:color w:val="auto"/>
                <w:sz w:val="24"/>
              </w:rPr>
            </w:pPr>
            <w:r>
              <w:rPr>
                <w:rFonts w:ascii="仿宋" w:hAnsi="仿宋" w:eastAsia="仿宋"/>
                <w:color w:val="auto"/>
                <w:sz w:val="24"/>
              </w:rPr>
              <w:t>1人</w:t>
            </w:r>
          </w:p>
        </w:tc>
        <w:tc>
          <w:tcPr>
            <w:tcW w:w="2269" w:type="pct"/>
          </w:tcPr>
          <w:p w14:paraId="5E6B44DA">
            <w:pPr>
              <w:pStyle w:val="43"/>
              <w:rPr>
                <w:rFonts w:ascii="仿宋" w:hAnsi="仿宋" w:eastAsia="仿宋"/>
                <w:color w:val="auto"/>
                <w:sz w:val="24"/>
              </w:rPr>
            </w:pPr>
            <w:r>
              <w:rPr>
                <w:rFonts w:ascii="仿宋" w:hAnsi="仿宋" w:eastAsia="仿宋"/>
                <w:color w:val="auto"/>
                <w:sz w:val="24"/>
              </w:rPr>
              <w:t>安全基线、KMS部署</w:t>
            </w:r>
          </w:p>
        </w:tc>
      </w:tr>
      <w:tr w14:paraId="1FF5101F">
        <w:tc>
          <w:tcPr>
            <w:tcW w:w="1449" w:type="pct"/>
          </w:tcPr>
          <w:p w14:paraId="4B26A6ED">
            <w:pPr>
              <w:pStyle w:val="43"/>
              <w:jc w:val="center"/>
              <w:rPr>
                <w:rFonts w:ascii="仿宋" w:hAnsi="仿宋" w:eastAsia="仿宋"/>
                <w:color w:val="auto"/>
                <w:sz w:val="24"/>
              </w:rPr>
            </w:pPr>
            <w:r>
              <w:rPr>
                <w:rFonts w:ascii="仿宋" w:hAnsi="仿宋" w:eastAsia="仿宋"/>
                <w:color w:val="auto"/>
                <w:sz w:val="24"/>
              </w:rPr>
              <w:t>网络工程师</w:t>
            </w:r>
          </w:p>
        </w:tc>
        <w:tc>
          <w:tcPr>
            <w:tcW w:w="1281" w:type="pct"/>
          </w:tcPr>
          <w:p w14:paraId="24DEA3D9">
            <w:pPr>
              <w:pStyle w:val="43"/>
              <w:jc w:val="center"/>
              <w:rPr>
                <w:rFonts w:ascii="仿宋" w:hAnsi="仿宋" w:eastAsia="仿宋"/>
                <w:color w:val="auto"/>
                <w:sz w:val="24"/>
              </w:rPr>
            </w:pPr>
            <w:r>
              <w:rPr>
                <w:rFonts w:ascii="仿宋" w:hAnsi="仿宋" w:eastAsia="仿宋"/>
                <w:color w:val="auto"/>
                <w:sz w:val="24"/>
              </w:rPr>
              <w:t>1人（协调）</w:t>
            </w:r>
          </w:p>
        </w:tc>
        <w:tc>
          <w:tcPr>
            <w:tcW w:w="2269" w:type="pct"/>
          </w:tcPr>
          <w:p w14:paraId="0C4075D4">
            <w:pPr>
              <w:pStyle w:val="43"/>
              <w:rPr>
                <w:rFonts w:ascii="仿宋" w:hAnsi="仿宋" w:eastAsia="仿宋"/>
                <w:color w:val="auto"/>
                <w:sz w:val="24"/>
              </w:rPr>
            </w:pPr>
            <w:r>
              <w:rPr>
                <w:rFonts w:ascii="仿宋" w:hAnsi="仿宋" w:eastAsia="仿宋"/>
                <w:color w:val="auto"/>
                <w:sz w:val="24"/>
              </w:rPr>
              <w:t>网络拓扑配置、防火墙规则</w:t>
            </w:r>
          </w:p>
        </w:tc>
      </w:tr>
    </w:tbl>
    <w:p w14:paraId="17784164">
      <w:pPr>
        <w:pStyle w:val="42"/>
        <w:jc w:val="both"/>
        <w:rPr>
          <w:rFonts w:hint="eastAsia"/>
          <w:color w:val="auto"/>
        </w:rPr>
      </w:pPr>
      <w:r>
        <w:rPr>
          <w:bCs/>
          <w:color w:val="auto"/>
        </w:rPr>
        <w:t>风险点</w:t>
      </w:r>
    </w:p>
    <w:p w14:paraId="7B7161C8">
      <w:pPr>
        <w:pStyle w:val="35"/>
        <w:widowControl/>
        <w:numPr>
          <w:ilvl w:val="0"/>
          <w:numId w:val="5"/>
        </w:numPr>
        <w:ind w:left="840" w:hanging="420"/>
        <w:contextualSpacing w:val="0"/>
        <w:rPr>
          <w:rFonts w:hint="eastAsia"/>
          <w:color w:val="auto"/>
        </w:rPr>
      </w:pPr>
      <w:r>
        <w:rPr>
          <w:rFonts w:ascii="仿宋" w:hAnsi="仿宋" w:cs="仿宋"/>
          <w:color w:val="auto"/>
          <w:szCs w:val="22"/>
        </w:rPr>
        <w:t>ARM服务器到货延期风险：提前2周确认货期，与备用供应商提前沟通</w:t>
      </w:r>
    </w:p>
    <w:p w14:paraId="47C1284C">
      <w:pPr>
        <w:pStyle w:val="35"/>
        <w:widowControl/>
        <w:numPr>
          <w:ilvl w:val="0"/>
          <w:numId w:val="5"/>
        </w:numPr>
        <w:ind w:left="840" w:hanging="420"/>
        <w:contextualSpacing w:val="0"/>
        <w:rPr>
          <w:rFonts w:hint="eastAsia"/>
          <w:color w:val="auto"/>
        </w:rPr>
      </w:pPr>
      <w:r>
        <w:rPr>
          <w:rFonts w:ascii="仿宋" w:hAnsi="仿宋" w:cs="仿宋"/>
          <w:color w:val="auto"/>
          <w:szCs w:val="22"/>
        </w:rPr>
        <w:t>国产OS与TDH 9.3兼容性问题：提前在测试环境验证，备有CentOS 7的备用方案</w:t>
      </w:r>
    </w:p>
    <w:p w14:paraId="5833C227">
      <w:pPr>
        <w:pStyle w:val="35"/>
        <w:widowControl/>
        <w:numPr>
          <w:ilvl w:val="0"/>
          <w:numId w:val="5"/>
        </w:numPr>
        <w:ind w:left="840" w:hanging="420"/>
        <w:contextualSpacing w:val="0"/>
        <w:rPr>
          <w:rFonts w:hint="eastAsia"/>
          <w:color w:val="auto"/>
        </w:rPr>
      </w:pPr>
      <w:r>
        <w:rPr>
          <w:rFonts w:ascii="仿宋" w:hAnsi="仿宋" w:cs="仿宋"/>
          <w:color w:val="auto"/>
          <w:szCs w:val="22"/>
        </w:rPr>
        <w:t>ARM性能未达预期：通过调整YARN资源配置（vcore超配）和ArgoDB缓存参数弥补</w:t>
      </w:r>
    </w:p>
    <w:p w14:paraId="54AC2423">
      <w:pPr>
        <w:pStyle w:val="42"/>
        <w:jc w:val="both"/>
        <w:rPr>
          <w:rFonts w:hint="eastAsia"/>
          <w:color w:val="auto"/>
        </w:rPr>
      </w:pPr>
      <w:r>
        <w:rPr>
          <w:bCs/>
          <w:color w:val="auto"/>
        </w:rPr>
        <w:t>验证项</w:t>
      </w:r>
    </w:p>
    <w:p w14:paraId="6AF347FA">
      <w:pPr>
        <w:pStyle w:val="35"/>
        <w:widowControl/>
        <w:numPr>
          <w:ilvl w:val="0"/>
          <w:numId w:val="5"/>
        </w:numPr>
        <w:ind w:left="840" w:hanging="420"/>
        <w:contextualSpacing w:val="0"/>
        <w:rPr>
          <w:rFonts w:hint="eastAsia"/>
          <w:color w:val="auto"/>
        </w:rPr>
      </w:pPr>
      <w:r>
        <w:rPr>
          <w:rFonts w:ascii="仿宋" w:hAnsi="仿宋" w:cs="仿宋"/>
          <w:color w:val="auto"/>
          <w:szCs w:val="22"/>
        </w:rPr>
        <w:t>TDH 9.3全部组件启动状态正常</w:t>
      </w:r>
    </w:p>
    <w:p w14:paraId="121D25ED">
      <w:pPr>
        <w:pStyle w:val="35"/>
        <w:widowControl/>
        <w:numPr>
          <w:ilvl w:val="0"/>
          <w:numId w:val="5"/>
        </w:numPr>
        <w:ind w:left="840" w:hanging="420"/>
        <w:contextualSpacing w:val="0"/>
        <w:rPr>
          <w:rFonts w:hint="eastAsia"/>
          <w:color w:val="auto"/>
        </w:rPr>
      </w:pPr>
      <w:r>
        <w:rPr>
          <w:rFonts w:ascii="仿宋" w:hAnsi="仿宋" w:cs="仿宋"/>
          <w:color w:val="auto"/>
          <w:szCs w:val="22"/>
        </w:rPr>
        <w:t>ArgoDB FE/BE节点健康，集群可用</w:t>
      </w:r>
    </w:p>
    <w:p w14:paraId="0344C25A">
      <w:pPr>
        <w:pStyle w:val="35"/>
        <w:widowControl/>
        <w:numPr>
          <w:ilvl w:val="0"/>
          <w:numId w:val="5"/>
        </w:numPr>
        <w:ind w:left="840" w:hanging="420"/>
        <w:contextualSpacing w:val="0"/>
        <w:rPr>
          <w:rFonts w:hint="eastAsia"/>
          <w:color w:val="auto"/>
        </w:rPr>
      </w:pPr>
      <w:r>
        <w:rPr>
          <w:rFonts w:ascii="仿宋" w:hAnsi="仿宋" w:cs="仿宋"/>
          <w:color w:val="auto"/>
          <w:szCs w:val="22"/>
        </w:rPr>
        <w:t>ARM性能基准：TPC-DS P50查询时间与X86对比不超过2倍</w:t>
      </w:r>
    </w:p>
    <w:p w14:paraId="7FE0B495">
      <w:pPr>
        <w:pStyle w:val="35"/>
        <w:widowControl/>
        <w:numPr>
          <w:ilvl w:val="0"/>
          <w:numId w:val="5"/>
        </w:numPr>
        <w:ind w:left="840" w:hanging="420"/>
        <w:contextualSpacing w:val="0"/>
        <w:rPr>
          <w:rFonts w:hint="eastAsia"/>
          <w:color w:val="auto"/>
        </w:rPr>
      </w:pPr>
      <w:r>
        <w:rPr>
          <w:rFonts w:ascii="仿宋" w:hAnsi="仿宋" w:cs="仿宋"/>
          <w:color w:val="auto"/>
          <w:szCs w:val="22"/>
        </w:rPr>
        <w:t>TDC 5.1可统一管控新旧两套集群</w:t>
      </w:r>
    </w:p>
    <w:p w14:paraId="6A7CB9AE">
      <w:pPr>
        <w:pStyle w:val="42"/>
        <w:jc w:val="both"/>
        <w:rPr>
          <w:rFonts w:hint="eastAsia"/>
          <w:color w:val="auto"/>
        </w:rPr>
      </w:pPr>
      <w:r>
        <w:rPr>
          <w:bCs/>
          <w:color w:val="auto"/>
        </w:rPr>
        <w:t>回退措施</w:t>
      </w:r>
    </w:p>
    <w:p w14:paraId="4DEC3B3A">
      <w:pPr>
        <w:pStyle w:val="42"/>
        <w:jc w:val="both"/>
        <w:rPr>
          <w:rFonts w:hint="eastAsia"/>
          <w:color w:val="auto"/>
        </w:rPr>
      </w:pPr>
      <w:r>
        <w:rPr>
          <w:color w:val="auto"/>
          <w:szCs w:val="22"/>
        </w:rPr>
        <w:t>本阶段不影响旧集群运行，新集群独立部署，如遇严重问题可暂停新集群建设，不影响现有业务。</w:t>
      </w:r>
    </w:p>
    <w:p w14:paraId="7AA8F2F0">
      <w:pPr>
        <w:pStyle w:val="5"/>
        <w:rPr>
          <w:rFonts w:hint="eastAsia"/>
          <w:color w:val="auto"/>
        </w:rPr>
      </w:pPr>
      <w:r>
        <w:rPr>
          <w:color w:val="auto"/>
        </w:rPr>
        <w:t>第二阶段：双集群并行验证</w:t>
      </w:r>
    </w:p>
    <w:p w14:paraId="3E7CDD58">
      <w:pPr>
        <w:pStyle w:val="42"/>
        <w:jc w:val="both"/>
        <w:rPr>
          <w:rFonts w:hint="eastAsia"/>
          <w:color w:val="auto"/>
        </w:rPr>
      </w:pPr>
      <w:r>
        <w:rPr>
          <w:bCs/>
          <w:color w:val="auto"/>
        </w:rPr>
        <w:t>工作内容</w:t>
      </w:r>
    </w:p>
    <w:p w14:paraId="5744520F">
      <w:pPr>
        <w:pStyle w:val="35"/>
        <w:widowControl/>
        <w:numPr>
          <w:ilvl w:val="0"/>
          <w:numId w:val="5"/>
        </w:numPr>
        <w:ind w:left="840" w:hanging="420"/>
        <w:contextualSpacing w:val="0"/>
        <w:rPr>
          <w:rFonts w:hint="eastAsia"/>
          <w:color w:val="auto"/>
        </w:rPr>
      </w:pPr>
      <w:r>
        <w:rPr>
          <w:rFonts w:ascii="仿宋" w:hAnsi="仿宋" w:cs="仿宋"/>
          <w:color w:val="auto"/>
          <w:szCs w:val="22"/>
        </w:rPr>
        <w:t>建立HDFS跨集群数据同步通道（DistCp + Scope CCR）</w:t>
      </w:r>
    </w:p>
    <w:p w14:paraId="730CE229">
      <w:pPr>
        <w:pStyle w:val="35"/>
        <w:widowControl/>
        <w:numPr>
          <w:ilvl w:val="0"/>
          <w:numId w:val="5"/>
        </w:numPr>
        <w:ind w:left="840" w:hanging="420"/>
        <w:contextualSpacing w:val="0"/>
        <w:rPr>
          <w:rFonts w:hint="eastAsia"/>
          <w:color w:val="auto"/>
        </w:rPr>
      </w:pPr>
      <w:r>
        <w:rPr>
          <w:rFonts w:ascii="仿宋" w:hAnsi="仿宋" w:cs="仿宋"/>
          <w:color w:val="auto"/>
          <w:szCs w:val="22"/>
        </w:rPr>
        <w:t>配置HBase Hyperbase replication跨集群数据复制</w:t>
      </w:r>
    </w:p>
    <w:p w14:paraId="504D417E">
      <w:pPr>
        <w:pStyle w:val="35"/>
        <w:widowControl/>
        <w:numPr>
          <w:ilvl w:val="0"/>
          <w:numId w:val="5"/>
        </w:numPr>
        <w:ind w:left="840" w:hanging="420"/>
        <w:contextualSpacing w:val="0"/>
        <w:rPr>
          <w:rFonts w:hint="eastAsia"/>
          <w:color w:val="auto"/>
        </w:rPr>
      </w:pPr>
      <w:r>
        <w:rPr>
          <w:rFonts w:ascii="仿宋" w:hAnsi="仿宋" w:cs="仿宋"/>
          <w:color w:val="auto"/>
          <w:szCs w:val="22"/>
        </w:rPr>
        <w:t>配置Canal同步，实现Kundb数据从旧集群到ArgoDB的实时同步</w:t>
      </w:r>
    </w:p>
    <w:p w14:paraId="3ED66FB1">
      <w:pPr>
        <w:pStyle w:val="35"/>
        <w:widowControl/>
        <w:numPr>
          <w:ilvl w:val="0"/>
          <w:numId w:val="5"/>
        </w:numPr>
        <w:ind w:left="840" w:hanging="420"/>
        <w:contextualSpacing w:val="0"/>
        <w:rPr>
          <w:rFonts w:hint="eastAsia"/>
          <w:color w:val="auto"/>
        </w:rPr>
      </w:pPr>
      <w:r>
        <w:rPr>
          <w:rFonts w:ascii="仿宋" w:hAnsi="仿宋" w:cs="仿宋"/>
          <w:color w:val="auto"/>
          <w:szCs w:val="22"/>
        </w:rPr>
        <w:t>在新集群重建Hive Metastore，导入历史元数据，建立元数据双写机制</w:t>
      </w:r>
    </w:p>
    <w:p w14:paraId="4387A8E0">
      <w:pPr>
        <w:pStyle w:val="35"/>
        <w:widowControl/>
        <w:numPr>
          <w:ilvl w:val="0"/>
          <w:numId w:val="5"/>
        </w:numPr>
        <w:ind w:left="840" w:hanging="420"/>
        <w:contextualSpacing w:val="0"/>
        <w:rPr>
          <w:rFonts w:hint="eastAsia"/>
          <w:color w:val="auto"/>
        </w:rPr>
      </w:pPr>
      <w:r>
        <w:rPr>
          <w:rFonts w:ascii="仿宋" w:hAnsi="仿宋" w:cs="仿宋"/>
          <w:color w:val="auto"/>
          <w:szCs w:val="22"/>
        </w:rPr>
        <w:t>在新集群部署所有HiveSQL/</w:t>
      </w:r>
      <w:r>
        <w:rPr>
          <w:rFonts w:hint="eastAsia" w:cs="仿宋"/>
          <w:color w:val="auto"/>
          <w:szCs w:val="22"/>
        </w:rPr>
        <w:t>Inceptor</w:t>
      </w:r>
      <w:r>
        <w:rPr>
          <w:rFonts w:ascii="仿宋" w:hAnsi="仿宋" w:cs="仿宋"/>
          <w:color w:val="auto"/>
          <w:szCs w:val="22"/>
        </w:rPr>
        <w:t>/</w:t>
      </w:r>
      <w:r>
        <w:rPr>
          <w:rFonts w:hint="eastAsia" w:cs="仿宋"/>
          <w:color w:val="auto"/>
          <w:szCs w:val="22"/>
        </w:rPr>
        <w:t>Slipstream</w:t>
      </w:r>
      <w:r>
        <w:rPr>
          <w:rFonts w:ascii="仿宋" w:hAnsi="仿宋" w:cs="仿宋"/>
          <w:color w:val="auto"/>
          <w:szCs w:val="22"/>
        </w:rPr>
        <w:t>作业（Shadow Run模式）</w:t>
      </w:r>
    </w:p>
    <w:p w14:paraId="46666F78">
      <w:pPr>
        <w:pStyle w:val="35"/>
        <w:widowControl/>
        <w:numPr>
          <w:ilvl w:val="0"/>
          <w:numId w:val="5"/>
        </w:numPr>
        <w:ind w:left="840" w:hanging="420"/>
        <w:contextualSpacing w:val="0"/>
        <w:rPr>
          <w:rFonts w:hint="eastAsia"/>
          <w:color w:val="auto"/>
        </w:rPr>
      </w:pPr>
      <w:r>
        <w:rPr>
          <w:rFonts w:ascii="仿宋" w:hAnsi="仿宋" w:cs="仿宋"/>
          <w:color w:val="auto"/>
          <w:szCs w:val="22"/>
        </w:rPr>
        <w:t>建立结果比对系统，自动比对新旧集群计算输出差异</w:t>
      </w:r>
    </w:p>
    <w:p w14:paraId="62CF1D1E">
      <w:pPr>
        <w:pStyle w:val="35"/>
        <w:widowControl/>
        <w:numPr>
          <w:ilvl w:val="0"/>
          <w:numId w:val="5"/>
        </w:numPr>
        <w:ind w:left="840" w:hanging="420"/>
        <w:contextualSpacing w:val="0"/>
        <w:rPr>
          <w:rFonts w:hint="eastAsia"/>
          <w:color w:val="auto"/>
        </w:rPr>
      </w:pPr>
      <w:r>
        <w:rPr>
          <w:rFonts w:ascii="仿宋" w:hAnsi="仿宋" w:cs="仿宋"/>
          <w:color w:val="auto"/>
          <w:szCs w:val="22"/>
        </w:rPr>
        <w:t>在新集群执行ArgoDB性能压测（模拟生产查询负载）</w:t>
      </w:r>
    </w:p>
    <w:p w14:paraId="3E9CEF86">
      <w:pPr>
        <w:pStyle w:val="35"/>
        <w:widowControl/>
        <w:numPr>
          <w:ilvl w:val="0"/>
          <w:numId w:val="5"/>
        </w:numPr>
        <w:ind w:left="840" w:hanging="420"/>
        <w:contextualSpacing w:val="0"/>
        <w:rPr>
          <w:rFonts w:hint="eastAsia"/>
          <w:color w:val="auto"/>
        </w:rPr>
      </w:pPr>
      <w:r>
        <w:rPr>
          <w:rFonts w:ascii="仿宋" w:hAnsi="仿宋" w:cs="仿宋"/>
          <w:color w:val="auto"/>
          <w:szCs w:val="22"/>
        </w:rPr>
        <w:t>完成Scope SQL兼容性评估报告，修复不兼容SQL</w:t>
      </w:r>
    </w:p>
    <w:p w14:paraId="259DC98A">
      <w:pPr>
        <w:pStyle w:val="42"/>
        <w:jc w:val="both"/>
        <w:rPr>
          <w:rFonts w:hint="eastAsia"/>
          <w:color w:val="auto"/>
        </w:rPr>
      </w:pPr>
      <w:r>
        <w:rPr>
          <w:bCs/>
          <w:color w:val="auto"/>
        </w:rPr>
        <w:t>验证项</w:t>
      </w:r>
    </w:p>
    <w:p w14:paraId="31496F27">
      <w:pPr>
        <w:pStyle w:val="35"/>
        <w:widowControl/>
        <w:numPr>
          <w:ilvl w:val="0"/>
          <w:numId w:val="5"/>
        </w:numPr>
        <w:ind w:left="840" w:hanging="420"/>
        <w:contextualSpacing w:val="0"/>
        <w:rPr>
          <w:rFonts w:hint="eastAsia"/>
          <w:color w:val="auto"/>
        </w:rPr>
      </w:pPr>
      <w:r>
        <w:rPr>
          <w:rFonts w:ascii="仿宋" w:hAnsi="仿宋" w:cs="仿宋"/>
          <w:color w:val="auto"/>
          <w:szCs w:val="22"/>
        </w:rPr>
        <w:t>数据同步延迟：Hyperbase replication延迟P99 &lt; 5秒；Canal同步延迟P99 &lt; 2秒</w:t>
      </w:r>
    </w:p>
    <w:p w14:paraId="6939F199">
      <w:pPr>
        <w:pStyle w:val="35"/>
        <w:widowControl/>
        <w:numPr>
          <w:ilvl w:val="0"/>
          <w:numId w:val="5"/>
        </w:numPr>
        <w:ind w:left="840" w:hanging="420"/>
        <w:contextualSpacing w:val="0"/>
        <w:rPr>
          <w:rFonts w:hint="eastAsia"/>
          <w:color w:val="auto"/>
        </w:rPr>
      </w:pPr>
      <w:r>
        <w:rPr>
          <w:rFonts w:ascii="仿宋" w:hAnsi="仿宋" w:cs="仿宋"/>
          <w:color w:val="auto"/>
          <w:szCs w:val="22"/>
        </w:rPr>
        <w:t>Shadow Run结果：连续5个工作日批处理作业结果与旧集群完全一致</w:t>
      </w:r>
    </w:p>
    <w:p w14:paraId="6EF670E4">
      <w:pPr>
        <w:pStyle w:val="35"/>
        <w:widowControl/>
        <w:numPr>
          <w:ilvl w:val="0"/>
          <w:numId w:val="5"/>
        </w:numPr>
        <w:ind w:left="840" w:hanging="420"/>
        <w:contextualSpacing w:val="0"/>
        <w:rPr>
          <w:rFonts w:hint="eastAsia"/>
          <w:color w:val="auto"/>
        </w:rPr>
      </w:pPr>
      <w:r>
        <w:rPr>
          <w:rFonts w:ascii="仿宋" w:hAnsi="仿宋" w:cs="仿宋"/>
          <w:color w:val="auto"/>
          <w:szCs w:val="22"/>
        </w:rPr>
        <w:t>ArgoDB性能压测：P99查询延迟满足目标要求（较旧集群提升3倍以上）</w:t>
      </w:r>
    </w:p>
    <w:p w14:paraId="7F55D3C2">
      <w:pPr>
        <w:pStyle w:val="35"/>
        <w:widowControl/>
        <w:numPr>
          <w:ilvl w:val="0"/>
          <w:numId w:val="5"/>
        </w:numPr>
        <w:ind w:left="840" w:hanging="420"/>
        <w:contextualSpacing w:val="0"/>
        <w:rPr>
          <w:rFonts w:hint="eastAsia"/>
          <w:color w:val="auto"/>
        </w:rPr>
      </w:pPr>
      <w:r>
        <w:rPr>
          <w:rFonts w:ascii="仿宋" w:hAnsi="仿宋" w:cs="仿宋"/>
          <w:color w:val="auto"/>
          <w:szCs w:val="22"/>
        </w:rPr>
        <w:t>Scope SQL兼容性：100%不兼容SQL完成改写并验证通过</w:t>
      </w:r>
    </w:p>
    <w:p w14:paraId="1AA9C046">
      <w:pPr>
        <w:pStyle w:val="5"/>
        <w:rPr>
          <w:rFonts w:hint="eastAsia"/>
          <w:color w:val="auto"/>
        </w:rPr>
      </w:pPr>
      <w:r>
        <w:rPr>
          <w:color w:val="auto"/>
        </w:rPr>
        <w:t>第三阶段：数据迁移与同步</w:t>
      </w:r>
    </w:p>
    <w:p w14:paraId="7D420E93">
      <w:pPr>
        <w:pStyle w:val="42"/>
        <w:jc w:val="both"/>
        <w:rPr>
          <w:rFonts w:hint="eastAsia"/>
          <w:color w:val="auto"/>
        </w:rPr>
      </w:pPr>
      <w:r>
        <w:rPr>
          <w:bCs/>
          <w:color w:val="auto"/>
        </w:rPr>
        <w:t>工作内容</w:t>
      </w:r>
    </w:p>
    <w:p w14:paraId="6A3612BD">
      <w:pPr>
        <w:pStyle w:val="35"/>
        <w:widowControl/>
        <w:numPr>
          <w:ilvl w:val="0"/>
          <w:numId w:val="5"/>
        </w:numPr>
        <w:ind w:left="840" w:hanging="420"/>
        <w:contextualSpacing w:val="0"/>
        <w:rPr>
          <w:rFonts w:hint="eastAsia"/>
          <w:color w:val="auto"/>
        </w:rPr>
      </w:pPr>
      <w:r>
        <w:rPr>
          <w:rFonts w:ascii="仿宋" w:hAnsi="仿宋" w:cs="仿宋"/>
          <w:color w:val="auto"/>
          <w:szCs w:val="22"/>
        </w:rPr>
        <w:t>按迁移优先级顺序，执行HDFS历史数据全量迁移（DistCp分批执行）</w:t>
      </w:r>
    </w:p>
    <w:p w14:paraId="3779C7E2">
      <w:pPr>
        <w:pStyle w:val="35"/>
        <w:widowControl/>
        <w:numPr>
          <w:ilvl w:val="0"/>
          <w:numId w:val="5"/>
        </w:numPr>
        <w:ind w:left="840" w:hanging="420"/>
        <w:contextualSpacing w:val="0"/>
        <w:rPr>
          <w:rFonts w:hint="eastAsia"/>
          <w:color w:val="auto"/>
        </w:rPr>
      </w:pPr>
      <w:r>
        <w:rPr>
          <w:rFonts w:ascii="仿宋" w:hAnsi="仿宋" w:cs="仿宋"/>
          <w:color w:val="auto"/>
          <w:szCs w:val="22"/>
        </w:rPr>
        <w:t>执行增量数据追赶，确认新集群数据与旧集群完全同步</w:t>
      </w:r>
    </w:p>
    <w:p w14:paraId="55F6002B">
      <w:pPr>
        <w:pStyle w:val="35"/>
        <w:widowControl/>
        <w:numPr>
          <w:ilvl w:val="0"/>
          <w:numId w:val="5"/>
        </w:numPr>
        <w:ind w:left="840" w:hanging="420"/>
        <w:contextualSpacing w:val="0"/>
        <w:rPr>
          <w:rFonts w:hint="eastAsia"/>
          <w:color w:val="auto"/>
        </w:rPr>
      </w:pPr>
      <w:r>
        <w:rPr>
          <w:rFonts w:ascii="仿宋" w:hAnsi="仿宋" w:cs="仿宋"/>
          <w:color w:val="auto"/>
          <w:szCs w:val="22"/>
        </w:rPr>
        <w:t>执行全面数据一致性校验（行数、关键字段、抽样对比）</w:t>
      </w:r>
    </w:p>
    <w:p w14:paraId="59714E02">
      <w:pPr>
        <w:pStyle w:val="35"/>
        <w:widowControl/>
        <w:numPr>
          <w:ilvl w:val="0"/>
          <w:numId w:val="5"/>
        </w:numPr>
        <w:ind w:left="840" w:hanging="420"/>
        <w:contextualSpacing w:val="0"/>
        <w:rPr>
          <w:rFonts w:hint="eastAsia"/>
          <w:color w:val="auto"/>
        </w:rPr>
      </w:pPr>
      <w:r>
        <w:rPr>
          <w:rFonts w:ascii="仿宋" w:hAnsi="仿宋" w:cs="仿宋"/>
          <w:color w:val="auto"/>
          <w:szCs w:val="22"/>
        </w:rPr>
        <w:t>完成Kundb数据模型在ArgoDB中的全量迁移和验证</w:t>
      </w:r>
    </w:p>
    <w:p w14:paraId="6ACA7B24">
      <w:pPr>
        <w:pStyle w:val="35"/>
        <w:widowControl/>
        <w:numPr>
          <w:ilvl w:val="0"/>
          <w:numId w:val="5"/>
        </w:numPr>
        <w:ind w:left="840" w:hanging="420"/>
        <w:contextualSpacing w:val="0"/>
        <w:rPr>
          <w:rFonts w:hint="eastAsia"/>
          <w:color w:val="auto"/>
        </w:rPr>
      </w:pPr>
      <w:r>
        <w:rPr>
          <w:rFonts w:ascii="仿宋" w:hAnsi="仿宋" w:cs="仿宋"/>
          <w:color w:val="auto"/>
          <w:szCs w:val="22"/>
        </w:rPr>
        <w:t>完成HBase全量Snapshot迁移，切换为增量replication模式</w:t>
      </w:r>
    </w:p>
    <w:p w14:paraId="74E2FACD">
      <w:pPr>
        <w:pStyle w:val="35"/>
        <w:widowControl/>
        <w:numPr>
          <w:ilvl w:val="0"/>
          <w:numId w:val="5"/>
        </w:numPr>
        <w:ind w:left="840" w:hanging="420"/>
        <w:contextualSpacing w:val="0"/>
        <w:rPr>
          <w:rFonts w:hint="eastAsia"/>
          <w:color w:val="auto"/>
        </w:rPr>
      </w:pPr>
      <w:r>
        <w:rPr>
          <w:rFonts w:ascii="仿宋" w:hAnsi="仿宋" w:cs="仿宋"/>
          <w:color w:val="auto"/>
          <w:szCs w:val="22"/>
        </w:rPr>
        <w:t>完成安全体系部署：TDE启用、KMS对接、审计日志上线</w:t>
      </w:r>
    </w:p>
    <w:p w14:paraId="42BC8BE0">
      <w:pPr>
        <w:pStyle w:val="42"/>
        <w:jc w:val="both"/>
        <w:rPr>
          <w:rFonts w:hint="eastAsia"/>
          <w:color w:val="auto"/>
        </w:rPr>
      </w:pPr>
      <w:r>
        <w:rPr>
          <w:bCs/>
          <w:color w:val="auto"/>
        </w:rPr>
        <w:t>风险点</w:t>
      </w:r>
    </w:p>
    <w:p w14:paraId="564EDE86">
      <w:pPr>
        <w:pStyle w:val="35"/>
        <w:widowControl/>
        <w:numPr>
          <w:ilvl w:val="0"/>
          <w:numId w:val="5"/>
        </w:numPr>
        <w:ind w:left="840" w:hanging="420"/>
        <w:contextualSpacing w:val="0"/>
        <w:rPr>
          <w:rFonts w:hint="eastAsia"/>
          <w:color w:val="auto"/>
        </w:rPr>
      </w:pPr>
      <w:r>
        <w:rPr>
          <w:rFonts w:ascii="仿宋" w:hAnsi="仿宋" w:cs="仿宋"/>
          <w:color w:val="auto"/>
          <w:szCs w:val="22"/>
        </w:rPr>
        <w:t>历史数据量超预期，迁移超时：通过增加DistCp Map数、优化网络带宽分配应对</w:t>
      </w:r>
    </w:p>
    <w:p w14:paraId="2ABBA5D4">
      <w:pPr>
        <w:pStyle w:val="35"/>
        <w:widowControl/>
        <w:numPr>
          <w:ilvl w:val="0"/>
          <w:numId w:val="5"/>
        </w:numPr>
        <w:ind w:left="840" w:hanging="420"/>
        <w:contextualSpacing w:val="0"/>
        <w:rPr>
          <w:rFonts w:hint="eastAsia"/>
          <w:color w:val="auto"/>
        </w:rPr>
      </w:pPr>
      <w:r>
        <w:rPr>
          <w:rFonts w:ascii="仿宋" w:hAnsi="仿宋" w:cs="仿宋"/>
          <w:color w:val="auto"/>
          <w:szCs w:val="22"/>
        </w:rPr>
        <w:t>数据校验发现不一致：建立数据修复流程，对不一致数据进行溯源修复，不允许带着不一致进入下一阶段</w:t>
      </w:r>
    </w:p>
    <w:p w14:paraId="7BD5861C">
      <w:pPr>
        <w:pStyle w:val="5"/>
        <w:rPr>
          <w:rFonts w:hint="eastAsia"/>
          <w:color w:val="auto"/>
        </w:rPr>
      </w:pPr>
      <w:r>
        <w:rPr>
          <w:color w:val="auto"/>
        </w:rPr>
        <w:t>第四阶段：业务灰度迁移</w:t>
      </w:r>
    </w:p>
    <w:p w14:paraId="4986E70B">
      <w:pPr>
        <w:pStyle w:val="42"/>
        <w:jc w:val="both"/>
        <w:rPr>
          <w:rFonts w:hint="eastAsia"/>
          <w:color w:val="auto"/>
        </w:rPr>
      </w:pPr>
      <w:r>
        <w:rPr>
          <w:bCs/>
          <w:color w:val="auto"/>
        </w:rPr>
        <w:t>工作内容</w:t>
      </w:r>
    </w:p>
    <w:p w14:paraId="575A6909">
      <w:pPr>
        <w:pStyle w:val="35"/>
        <w:widowControl/>
        <w:numPr>
          <w:ilvl w:val="0"/>
          <w:numId w:val="5"/>
        </w:numPr>
        <w:ind w:left="840" w:hanging="420"/>
        <w:contextualSpacing w:val="0"/>
        <w:rPr>
          <w:rFonts w:hint="eastAsia"/>
          <w:color w:val="auto"/>
        </w:rPr>
      </w:pPr>
      <w:r>
        <w:rPr>
          <w:rFonts w:ascii="仿宋" w:hAnsi="仿宋" w:cs="仿宋"/>
          <w:color w:val="auto"/>
          <w:szCs w:val="22"/>
        </w:rPr>
        <w:t>按业务优先级顺序，逐步将业务流量切换至新集群（C级→B级→A级）</w:t>
      </w:r>
    </w:p>
    <w:p w14:paraId="427C6885">
      <w:pPr>
        <w:pStyle w:val="35"/>
        <w:widowControl/>
        <w:numPr>
          <w:ilvl w:val="0"/>
          <w:numId w:val="5"/>
        </w:numPr>
        <w:ind w:left="840" w:hanging="420"/>
        <w:contextualSpacing w:val="0"/>
        <w:rPr>
          <w:rFonts w:hint="eastAsia"/>
          <w:color w:val="auto"/>
        </w:rPr>
      </w:pPr>
      <w:r>
        <w:rPr>
          <w:rFonts w:ascii="仿宋" w:hAnsi="仿宋" w:cs="仿宋"/>
          <w:color w:val="auto"/>
          <w:szCs w:val="22"/>
        </w:rPr>
        <w:t>每个业务系统切换前完成完整验收测试（功能测试 + 性能测试 + 数据核对）</w:t>
      </w:r>
    </w:p>
    <w:p w14:paraId="39C27F86">
      <w:pPr>
        <w:pStyle w:val="35"/>
        <w:widowControl/>
        <w:numPr>
          <w:ilvl w:val="0"/>
          <w:numId w:val="5"/>
        </w:numPr>
        <w:ind w:left="840" w:hanging="420"/>
        <w:contextualSpacing w:val="0"/>
        <w:rPr>
          <w:rFonts w:hint="eastAsia"/>
          <w:color w:val="auto"/>
        </w:rPr>
      </w:pPr>
      <w:r>
        <w:rPr>
          <w:rFonts w:ascii="仿宋" w:hAnsi="仿宋" w:cs="仿宋"/>
          <w:color w:val="auto"/>
          <w:szCs w:val="22"/>
        </w:rPr>
        <w:t>通过流量网关实现Canary→Small→Medium→Large→Full五阶段灰度</w:t>
      </w:r>
    </w:p>
    <w:p w14:paraId="75A2FCE9">
      <w:pPr>
        <w:pStyle w:val="35"/>
        <w:widowControl/>
        <w:numPr>
          <w:ilvl w:val="0"/>
          <w:numId w:val="5"/>
        </w:numPr>
        <w:ind w:left="840" w:hanging="420"/>
        <w:contextualSpacing w:val="0"/>
        <w:rPr>
          <w:rFonts w:hint="eastAsia"/>
          <w:color w:val="auto"/>
        </w:rPr>
      </w:pPr>
      <w:r>
        <w:rPr>
          <w:rFonts w:ascii="仿宋" w:hAnsi="仿宋" w:cs="仿宋"/>
          <w:color w:val="auto"/>
          <w:szCs w:val="22"/>
        </w:rPr>
        <w:t>将夜间批处理作业逐步切换至新YARN（保留旧集群影子运行）</w:t>
      </w:r>
    </w:p>
    <w:p w14:paraId="08CD708E">
      <w:pPr>
        <w:pStyle w:val="35"/>
        <w:widowControl/>
        <w:numPr>
          <w:ilvl w:val="0"/>
          <w:numId w:val="5"/>
        </w:numPr>
        <w:ind w:left="840" w:hanging="420"/>
        <w:contextualSpacing w:val="0"/>
        <w:rPr>
          <w:rFonts w:hint="eastAsia"/>
          <w:color w:val="auto"/>
        </w:rPr>
      </w:pPr>
      <w:r>
        <w:rPr>
          <w:rFonts w:ascii="仿宋" w:hAnsi="仿宋" w:cs="仿宋"/>
          <w:color w:val="auto"/>
          <w:szCs w:val="22"/>
        </w:rPr>
        <w:t>完成领导驾驶舱专项验收（2周并行运行 + 专项测试）</w:t>
      </w:r>
    </w:p>
    <w:p w14:paraId="4C63BF71">
      <w:pPr>
        <w:pStyle w:val="42"/>
        <w:jc w:val="both"/>
        <w:rPr>
          <w:rFonts w:hint="eastAsia"/>
          <w:color w:val="auto"/>
        </w:rPr>
      </w:pPr>
      <w:r>
        <w:rPr>
          <w:bCs/>
          <w:color w:val="auto"/>
        </w:rPr>
        <w:t>验证项</w:t>
      </w:r>
    </w:p>
    <w:p w14:paraId="29B4334F">
      <w:pPr>
        <w:pStyle w:val="35"/>
        <w:widowControl/>
        <w:numPr>
          <w:ilvl w:val="0"/>
          <w:numId w:val="5"/>
        </w:numPr>
        <w:ind w:left="840" w:hanging="420"/>
        <w:contextualSpacing w:val="0"/>
        <w:rPr>
          <w:rFonts w:hint="eastAsia"/>
          <w:color w:val="auto"/>
        </w:rPr>
      </w:pPr>
      <w:r>
        <w:rPr>
          <w:rFonts w:ascii="仿宋" w:hAnsi="仿宋" w:cs="仿宋"/>
          <w:color w:val="auto"/>
          <w:szCs w:val="22"/>
        </w:rPr>
        <w:t>每个业务系统切换后，监控连续7天无P1以上告警</w:t>
      </w:r>
    </w:p>
    <w:p w14:paraId="01212EB3">
      <w:pPr>
        <w:pStyle w:val="35"/>
        <w:widowControl/>
        <w:numPr>
          <w:ilvl w:val="0"/>
          <w:numId w:val="5"/>
        </w:numPr>
        <w:ind w:left="840" w:hanging="420"/>
        <w:contextualSpacing w:val="0"/>
        <w:rPr>
          <w:rFonts w:hint="eastAsia"/>
          <w:color w:val="auto"/>
        </w:rPr>
      </w:pPr>
      <w:r>
        <w:rPr>
          <w:rFonts w:ascii="仿宋" w:hAnsi="仿宋" w:cs="仿宋"/>
          <w:color w:val="auto"/>
          <w:szCs w:val="22"/>
        </w:rPr>
        <w:t>领导驾驶舱查询响应时间满足目标（P99 &lt; 5秒）</w:t>
      </w:r>
    </w:p>
    <w:p w14:paraId="71094A10">
      <w:pPr>
        <w:pStyle w:val="35"/>
        <w:widowControl/>
        <w:numPr>
          <w:ilvl w:val="0"/>
          <w:numId w:val="5"/>
        </w:numPr>
        <w:ind w:left="840" w:hanging="420"/>
        <w:contextualSpacing w:val="0"/>
        <w:rPr>
          <w:rFonts w:hint="eastAsia"/>
          <w:color w:val="auto"/>
        </w:rPr>
      </w:pPr>
      <w:r>
        <w:rPr>
          <w:rFonts w:ascii="仿宋" w:hAnsi="仿宋" w:cs="仿宋"/>
          <w:color w:val="auto"/>
          <w:szCs w:val="22"/>
        </w:rPr>
        <w:t>夜间批处理在新集群的完成时间缩短至目标范围（4-5小时）</w:t>
      </w:r>
    </w:p>
    <w:p w14:paraId="0C6B3B22">
      <w:pPr>
        <w:pStyle w:val="5"/>
        <w:rPr>
          <w:rFonts w:hint="eastAsia"/>
          <w:color w:val="auto"/>
        </w:rPr>
      </w:pPr>
      <w:r>
        <w:rPr>
          <w:color w:val="auto"/>
        </w:rPr>
        <w:t>第五阶段：全量切换</w:t>
      </w:r>
    </w:p>
    <w:p w14:paraId="08C834FD">
      <w:pPr>
        <w:pStyle w:val="42"/>
        <w:jc w:val="both"/>
        <w:rPr>
          <w:rFonts w:hint="eastAsia"/>
          <w:color w:val="auto"/>
        </w:rPr>
      </w:pPr>
      <w:r>
        <w:rPr>
          <w:bCs/>
          <w:color w:val="auto"/>
        </w:rPr>
        <w:t>工作内容</w:t>
      </w:r>
    </w:p>
    <w:p w14:paraId="03A572C7">
      <w:pPr>
        <w:pStyle w:val="35"/>
        <w:widowControl/>
        <w:numPr>
          <w:ilvl w:val="0"/>
          <w:numId w:val="5"/>
        </w:numPr>
        <w:ind w:left="840" w:hanging="420"/>
        <w:contextualSpacing w:val="0"/>
        <w:rPr>
          <w:rFonts w:hint="eastAsia"/>
          <w:color w:val="auto"/>
        </w:rPr>
      </w:pPr>
      <w:r>
        <w:rPr>
          <w:rFonts w:ascii="仿宋" w:hAnsi="仿宋" w:cs="仿宋"/>
          <w:color w:val="auto"/>
          <w:szCs w:val="22"/>
        </w:rPr>
        <w:t>将所有业务系统流量100%切换至新集群</w:t>
      </w:r>
    </w:p>
    <w:p w14:paraId="7D30FDDA">
      <w:pPr>
        <w:pStyle w:val="35"/>
        <w:widowControl/>
        <w:numPr>
          <w:ilvl w:val="0"/>
          <w:numId w:val="5"/>
        </w:numPr>
        <w:ind w:left="840" w:hanging="420"/>
        <w:contextualSpacing w:val="0"/>
        <w:rPr>
          <w:rFonts w:hint="eastAsia"/>
          <w:color w:val="auto"/>
        </w:rPr>
      </w:pPr>
      <w:r>
        <w:rPr>
          <w:rFonts w:ascii="仿宋" w:hAnsi="仿宋" w:cs="仿宋"/>
          <w:color w:val="auto"/>
          <w:szCs w:val="22"/>
        </w:rPr>
        <w:t>停止旧集群对外服务（保留备用状态，不下线）</w:t>
      </w:r>
    </w:p>
    <w:p w14:paraId="5B8791EC">
      <w:pPr>
        <w:pStyle w:val="35"/>
        <w:widowControl/>
        <w:numPr>
          <w:ilvl w:val="0"/>
          <w:numId w:val="5"/>
        </w:numPr>
        <w:ind w:left="840" w:hanging="420"/>
        <w:contextualSpacing w:val="0"/>
        <w:rPr>
          <w:rFonts w:hint="eastAsia"/>
          <w:color w:val="auto"/>
        </w:rPr>
      </w:pPr>
      <w:r>
        <w:rPr>
          <w:rFonts w:ascii="仿宋" w:hAnsi="仿宋" w:cs="仿宋"/>
          <w:color w:val="auto"/>
          <w:szCs w:val="22"/>
        </w:rPr>
        <w:t>更新DNS、修改VIP配置，确认新集群为唯一生产集群</w:t>
      </w:r>
    </w:p>
    <w:p w14:paraId="7AF60324">
      <w:pPr>
        <w:pStyle w:val="35"/>
        <w:widowControl/>
        <w:numPr>
          <w:ilvl w:val="0"/>
          <w:numId w:val="5"/>
        </w:numPr>
        <w:ind w:left="840" w:hanging="420"/>
        <w:contextualSpacing w:val="0"/>
        <w:rPr>
          <w:rFonts w:hint="eastAsia"/>
          <w:color w:val="auto"/>
        </w:rPr>
      </w:pPr>
      <w:r>
        <w:rPr>
          <w:rFonts w:ascii="仿宋" w:hAnsi="仿宋" w:cs="仿宋"/>
          <w:color w:val="auto"/>
          <w:szCs w:val="22"/>
        </w:rPr>
        <w:t>执行全量切换后的7天全面监控</w:t>
      </w:r>
    </w:p>
    <w:p w14:paraId="4AE3784F">
      <w:pPr>
        <w:pStyle w:val="35"/>
        <w:widowControl/>
        <w:numPr>
          <w:ilvl w:val="0"/>
          <w:numId w:val="5"/>
        </w:numPr>
        <w:ind w:left="840" w:hanging="420"/>
        <w:contextualSpacing w:val="0"/>
        <w:rPr>
          <w:rFonts w:hint="eastAsia"/>
          <w:color w:val="auto"/>
        </w:rPr>
      </w:pPr>
      <w:r>
        <w:rPr>
          <w:rFonts w:ascii="仿宋" w:hAnsi="仿宋" w:cs="仿宋"/>
          <w:color w:val="auto"/>
          <w:szCs w:val="22"/>
        </w:rPr>
        <w:t>准备旧集群下线方案</w:t>
      </w:r>
    </w:p>
    <w:p w14:paraId="138B4ED6">
      <w:pPr>
        <w:pStyle w:val="42"/>
        <w:jc w:val="both"/>
        <w:rPr>
          <w:rFonts w:hint="eastAsia"/>
          <w:color w:val="auto"/>
        </w:rPr>
      </w:pPr>
      <w:r>
        <w:rPr>
          <w:bCs/>
          <w:color w:val="auto"/>
        </w:rPr>
        <w:t>回退措施</w:t>
      </w:r>
    </w:p>
    <w:p w14:paraId="625C1CF1">
      <w:pPr>
        <w:pStyle w:val="42"/>
        <w:jc w:val="both"/>
        <w:rPr>
          <w:rFonts w:hint="eastAsia"/>
          <w:color w:val="auto"/>
        </w:rPr>
      </w:pPr>
      <w:r>
        <w:rPr>
          <w:color w:val="auto"/>
          <w:szCs w:val="22"/>
        </w:rPr>
        <w:t>旧集群在全量切换后保持热备状态至少30天，发现严重问题可在1小时内切回旧集群。</w:t>
      </w:r>
    </w:p>
    <w:p w14:paraId="02CF220C">
      <w:pPr>
        <w:pStyle w:val="5"/>
        <w:rPr>
          <w:rFonts w:hint="eastAsia"/>
          <w:color w:val="auto"/>
        </w:rPr>
      </w:pPr>
      <w:r>
        <w:rPr>
          <w:color w:val="auto"/>
        </w:rPr>
        <w:t>第六阶段：旧平台下线</w:t>
      </w:r>
    </w:p>
    <w:p w14:paraId="5F59C754">
      <w:pPr>
        <w:pStyle w:val="42"/>
        <w:jc w:val="both"/>
        <w:rPr>
          <w:rFonts w:hint="eastAsia"/>
          <w:color w:val="auto"/>
        </w:rPr>
      </w:pPr>
      <w:r>
        <w:rPr>
          <w:bCs/>
          <w:color w:val="auto"/>
        </w:rPr>
        <w:t>工作内容</w:t>
      </w:r>
    </w:p>
    <w:p w14:paraId="1240B85D">
      <w:pPr>
        <w:pStyle w:val="35"/>
        <w:widowControl/>
        <w:numPr>
          <w:ilvl w:val="0"/>
          <w:numId w:val="5"/>
        </w:numPr>
        <w:ind w:left="840" w:hanging="420"/>
        <w:contextualSpacing w:val="0"/>
        <w:rPr>
          <w:rFonts w:hint="eastAsia"/>
          <w:color w:val="auto"/>
        </w:rPr>
      </w:pPr>
      <w:r>
        <w:rPr>
          <w:rFonts w:ascii="仿宋" w:hAnsi="仿宋" w:cs="仿宋"/>
          <w:color w:val="auto"/>
          <w:szCs w:val="22"/>
        </w:rPr>
        <w:t>确认新集群稳定运行30天以上，无P1以上故障</w:t>
      </w:r>
    </w:p>
    <w:p w14:paraId="57ED7FE8">
      <w:pPr>
        <w:pStyle w:val="35"/>
        <w:widowControl/>
        <w:numPr>
          <w:ilvl w:val="0"/>
          <w:numId w:val="5"/>
        </w:numPr>
        <w:ind w:left="840" w:hanging="420"/>
        <w:contextualSpacing w:val="0"/>
        <w:rPr>
          <w:rFonts w:hint="eastAsia"/>
          <w:color w:val="auto"/>
        </w:rPr>
      </w:pPr>
      <w:r>
        <w:rPr>
          <w:rFonts w:ascii="仿宋" w:hAnsi="仿宋" w:cs="仿宋"/>
          <w:color w:val="auto"/>
          <w:szCs w:val="22"/>
        </w:rPr>
        <w:t>停止旧集群所有服务，执行数据最终备份</w:t>
      </w:r>
    </w:p>
    <w:p w14:paraId="4D50C2FE">
      <w:pPr>
        <w:pStyle w:val="35"/>
        <w:widowControl/>
        <w:numPr>
          <w:ilvl w:val="0"/>
          <w:numId w:val="5"/>
        </w:numPr>
        <w:ind w:left="840" w:hanging="420"/>
        <w:contextualSpacing w:val="0"/>
        <w:rPr>
          <w:rFonts w:hint="eastAsia"/>
          <w:color w:val="auto"/>
        </w:rPr>
      </w:pPr>
      <w:r>
        <w:rPr>
          <w:rFonts w:ascii="仿宋" w:hAnsi="仿宋" w:cs="仿宋"/>
          <w:color w:val="auto"/>
          <w:szCs w:val="22"/>
        </w:rPr>
        <w:t>有序下线旧集群节点（优先下线Worker节点，最后下线Master节点）</w:t>
      </w:r>
    </w:p>
    <w:p w14:paraId="2E5570B4">
      <w:pPr>
        <w:pStyle w:val="35"/>
        <w:widowControl/>
        <w:numPr>
          <w:ilvl w:val="0"/>
          <w:numId w:val="5"/>
        </w:numPr>
        <w:ind w:left="840" w:hanging="420"/>
        <w:contextualSpacing w:val="0"/>
        <w:rPr>
          <w:rFonts w:hint="eastAsia"/>
          <w:color w:val="auto"/>
        </w:rPr>
      </w:pPr>
      <w:r>
        <w:rPr>
          <w:rFonts w:ascii="仿宋" w:hAnsi="仿宋" w:cs="仿宋"/>
          <w:color w:val="auto"/>
          <w:szCs w:val="22"/>
        </w:rPr>
        <w:t>完成X86节点的信创改造或退役处理</w:t>
      </w:r>
    </w:p>
    <w:p w14:paraId="1ED1687C">
      <w:pPr>
        <w:pStyle w:val="35"/>
        <w:widowControl/>
        <w:numPr>
          <w:ilvl w:val="0"/>
          <w:numId w:val="5"/>
        </w:numPr>
        <w:ind w:left="840" w:hanging="420"/>
        <w:contextualSpacing w:val="0"/>
        <w:rPr>
          <w:rFonts w:hint="eastAsia"/>
          <w:color w:val="auto"/>
        </w:rPr>
      </w:pPr>
      <w:r>
        <w:rPr>
          <w:rFonts w:ascii="仿宋" w:hAnsi="仿宋" w:cs="仿宋"/>
          <w:color w:val="auto"/>
          <w:szCs w:val="22"/>
        </w:rPr>
        <w:t>完成项目整体验收（功能验收 + 性能验收 + 安全验收 + 文档验收）</w:t>
      </w:r>
    </w:p>
    <w:p w14:paraId="62A20E46">
      <w:pPr>
        <w:pStyle w:val="35"/>
        <w:widowControl/>
        <w:numPr>
          <w:ilvl w:val="0"/>
          <w:numId w:val="5"/>
        </w:numPr>
        <w:ind w:left="840" w:hanging="420"/>
        <w:contextualSpacing w:val="0"/>
        <w:rPr>
          <w:rFonts w:hint="eastAsia"/>
          <w:color w:val="auto"/>
        </w:rPr>
      </w:pPr>
      <w:r>
        <w:rPr>
          <w:rFonts w:ascii="仿宋" w:hAnsi="仿宋" w:cs="仿宋"/>
          <w:color w:val="auto"/>
          <w:szCs w:val="22"/>
        </w:rPr>
        <w:t>完成运维交接和人员培训</w:t>
      </w:r>
    </w:p>
    <w:p w14:paraId="7E0A7A3A">
      <w:pPr>
        <w:pStyle w:val="4"/>
        <w:rPr>
          <w:rFonts w:hint="eastAsia"/>
          <w:color w:val="auto"/>
        </w:rPr>
      </w:pPr>
      <w:bookmarkStart w:id="56" w:name="_Toc230106874"/>
      <w:r>
        <w:rPr>
          <w:rFonts w:hint="eastAsia"/>
          <w:color w:val="auto"/>
        </w:rPr>
        <w:t>实施方案</w:t>
      </w:r>
      <w:bookmarkEnd w:id="56"/>
    </w:p>
    <w:p w14:paraId="73000B5D">
      <w:pPr>
        <w:pStyle w:val="5"/>
        <w:rPr>
          <w:rFonts w:hint="eastAsia"/>
          <w:color w:val="auto"/>
        </w:rPr>
      </w:pPr>
      <w:r>
        <w:rPr>
          <w:color w:val="auto"/>
        </w:rPr>
        <w:t>信创改造方案</w:t>
      </w:r>
    </w:p>
    <w:p w14:paraId="63C0D835">
      <w:pPr>
        <w:pStyle w:val="6"/>
        <w:rPr>
          <w:rFonts w:hint="eastAsia"/>
          <w:color w:val="auto"/>
        </w:rPr>
      </w:pPr>
      <w:r>
        <w:rPr>
          <w:color w:val="auto"/>
        </w:rPr>
        <w:t>信创改造目标</w:t>
      </w:r>
    </w:p>
    <w:p w14:paraId="783358F8">
      <w:pPr>
        <w:pStyle w:val="42"/>
        <w:jc w:val="both"/>
        <w:rPr>
          <w:rFonts w:hint="eastAsia"/>
          <w:color w:val="auto"/>
        </w:rPr>
      </w:pPr>
      <w:r>
        <w:rPr>
          <w:color w:val="auto"/>
          <w:szCs w:val="22"/>
        </w:rPr>
        <w:t>本次信创改造的核心目标是：在保障业务连续性的前提下，完成大数据平台从X86架构向ARM国产架构的平滑迁移，实现关键软硬件的国产化替代，满足国家和上海市信创合规要求。</w:t>
      </w:r>
    </w:p>
    <w:p w14:paraId="64E91BA0">
      <w:pPr>
        <w:pStyle w:val="6"/>
        <w:rPr>
          <w:rFonts w:hint="eastAsia"/>
          <w:color w:val="auto"/>
        </w:rPr>
      </w:pPr>
      <w:r>
        <w:rPr>
          <w:color w:val="auto"/>
        </w:rPr>
        <w:t>硬件选型方案</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gridCol w:w="2355"/>
        <w:gridCol w:w="1640"/>
        <w:gridCol w:w="1820"/>
        <w:gridCol w:w="1420"/>
      </w:tblGrid>
      <w:tr w14:paraId="08D02380">
        <w:tc>
          <w:tcPr>
            <w:tcW w:w="755" w:type="pct"/>
          </w:tcPr>
          <w:p w14:paraId="5DD5BAF1">
            <w:pPr>
              <w:pStyle w:val="43"/>
              <w:jc w:val="center"/>
              <w:rPr>
                <w:rFonts w:ascii="仿宋" w:hAnsi="仿宋" w:eastAsia="仿宋"/>
                <w:b/>
                <w:color w:val="auto"/>
                <w:sz w:val="24"/>
              </w:rPr>
            </w:pPr>
            <w:r>
              <w:rPr>
                <w:rFonts w:ascii="仿宋" w:hAnsi="仿宋" w:eastAsia="仿宋"/>
                <w:b/>
                <w:color w:val="auto"/>
                <w:sz w:val="24"/>
              </w:rPr>
              <w:t>硬件类型</w:t>
            </w:r>
          </w:p>
        </w:tc>
        <w:tc>
          <w:tcPr>
            <w:tcW w:w="1382" w:type="pct"/>
          </w:tcPr>
          <w:p w14:paraId="6B718604">
            <w:pPr>
              <w:pStyle w:val="43"/>
              <w:jc w:val="center"/>
              <w:rPr>
                <w:rFonts w:ascii="仿宋" w:hAnsi="仿宋" w:eastAsia="仿宋"/>
                <w:b/>
                <w:color w:val="auto"/>
                <w:sz w:val="24"/>
              </w:rPr>
            </w:pPr>
            <w:r>
              <w:rPr>
                <w:rFonts w:ascii="仿宋" w:hAnsi="仿宋" w:eastAsia="仿宋"/>
                <w:b/>
                <w:color w:val="auto"/>
                <w:sz w:val="24"/>
              </w:rPr>
              <w:t>推荐型号</w:t>
            </w:r>
          </w:p>
        </w:tc>
        <w:tc>
          <w:tcPr>
            <w:tcW w:w="962" w:type="pct"/>
          </w:tcPr>
          <w:p w14:paraId="7D2F38D1">
            <w:pPr>
              <w:pStyle w:val="43"/>
              <w:jc w:val="center"/>
              <w:rPr>
                <w:rFonts w:ascii="仿宋" w:hAnsi="仿宋" w:eastAsia="仿宋"/>
                <w:b/>
                <w:color w:val="auto"/>
                <w:sz w:val="24"/>
              </w:rPr>
            </w:pPr>
            <w:r>
              <w:rPr>
                <w:rFonts w:ascii="仿宋" w:hAnsi="仿宋" w:eastAsia="仿宋"/>
                <w:b/>
                <w:color w:val="auto"/>
                <w:sz w:val="24"/>
              </w:rPr>
              <w:t>CPU架构</w:t>
            </w:r>
          </w:p>
        </w:tc>
        <w:tc>
          <w:tcPr>
            <w:tcW w:w="1068" w:type="pct"/>
          </w:tcPr>
          <w:p w14:paraId="17A3A363">
            <w:pPr>
              <w:pStyle w:val="43"/>
              <w:jc w:val="center"/>
              <w:rPr>
                <w:rFonts w:ascii="仿宋" w:hAnsi="仿宋" w:eastAsia="仿宋"/>
                <w:b/>
                <w:color w:val="auto"/>
                <w:sz w:val="24"/>
              </w:rPr>
            </w:pPr>
            <w:r>
              <w:rPr>
                <w:rFonts w:ascii="仿宋" w:hAnsi="仿宋" w:eastAsia="仿宋"/>
                <w:b/>
                <w:color w:val="auto"/>
                <w:sz w:val="24"/>
              </w:rPr>
              <w:t>核心数/内存/存储</w:t>
            </w:r>
          </w:p>
        </w:tc>
        <w:tc>
          <w:tcPr>
            <w:tcW w:w="833" w:type="pct"/>
          </w:tcPr>
          <w:p w14:paraId="7BBFD15F">
            <w:pPr>
              <w:pStyle w:val="43"/>
              <w:jc w:val="center"/>
              <w:rPr>
                <w:rFonts w:ascii="仿宋" w:hAnsi="仿宋" w:eastAsia="仿宋"/>
                <w:b/>
                <w:color w:val="auto"/>
                <w:sz w:val="24"/>
              </w:rPr>
            </w:pPr>
            <w:r>
              <w:rPr>
                <w:rFonts w:ascii="仿宋" w:hAnsi="仿宋" w:eastAsia="仿宋"/>
                <w:b/>
                <w:color w:val="auto"/>
                <w:sz w:val="24"/>
              </w:rPr>
              <w:t>用途</w:t>
            </w:r>
          </w:p>
        </w:tc>
      </w:tr>
      <w:tr w14:paraId="42647E4C">
        <w:tc>
          <w:tcPr>
            <w:tcW w:w="755" w:type="pct"/>
          </w:tcPr>
          <w:p w14:paraId="33EE8DE3">
            <w:pPr>
              <w:pStyle w:val="43"/>
              <w:rPr>
                <w:rFonts w:ascii="仿宋" w:hAnsi="仿宋" w:eastAsia="仿宋"/>
                <w:color w:val="auto"/>
                <w:sz w:val="24"/>
              </w:rPr>
            </w:pPr>
            <w:r>
              <w:rPr>
                <w:rFonts w:hint="eastAsia" w:ascii="仿宋" w:hAnsi="仿宋" w:eastAsia="仿宋"/>
                <w:color w:val="auto"/>
                <w:sz w:val="24"/>
              </w:rPr>
              <w:t>管理节点</w:t>
            </w:r>
          </w:p>
        </w:tc>
        <w:tc>
          <w:tcPr>
            <w:tcW w:w="1382" w:type="pct"/>
          </w:tcPr>
          <w:p w14:paraId="61C613A1">
            <w:pPr>
              <w:pStyle w:val="43"/>
              <w:rPr>
                <w:rFonts w:ascii="仿宋" w:hAnsi="仿宋" w:eastAsia="仿宋"/>
                <w:color w:val="auto"/>
                <w:sz w:val="24"/>
              </w:rPr>
            </w:pPr>
            <w:r>
              <w:rPr>
                <w:rFonts w:ascii="仿宋" w:hAnsi="仿宋" w:eastAsia="仿宋"/>
                <w:color w:val="auto"/>
                <w:sz w:val="24"/>
              </w:rPr>
              <w:t>华为TaiShan 200/飞腾FT-2000+服务器</w:t>
            </w:r>
          </w:p>
        </w:tc>
        <w:tc>
          <w:tcPr>
            <w:tcW w:w="962" w:type="pct"/>
          </w:tcPr>
          <w:p w14:paraId="06EC0359">
            <w:pPr>
              <w:pStyle w:val="43"/>
              <w:rPr>
                <w:rFonts w:ascii="仿宋" w:hAnsi="仿宋" w:eastAsia="仿宋"/>
                <w:color w:val="auto"/>
                <w:sz w:val="24"/>
              </w:rPr>
            </w:pPr>
            <w:r>
              <w:rPr>
                <w:rFonts w:ascii="仿宋" w:hAnsi="仿宋" w:eastAsia="仿宋"/>
                <w:color w:val="auto"/>
                <w:sz w:val="24"/>
              </w:rPr>
              <w:t>ARM（鲲鹏920/飞腾）</w:t>
            </w:r>
          </w:p>
        </w:tc>
        <w:tc>
          <w:tcPr>
            <w:tcW w:w="1068" w:type="pct"/>
          </w:tcPr>
          <w:p w14:paraId="27492A7A">
            <w:pPr>
              <w:pStyle w:val="43"/>
              <w:rPr>
                <w:rFonts w:ascii="仿宋" w:hAnsi="仿宋" w:eastAsia="仿宋"/>
                <w:color w:val="auto"/>
                <w:sz w:val="24"/>
              </w:rPr>
            </w:pPr>
            <w:r>
              <w:rPr>
                <w:rFonts w:ascii="仿宋" w:hAnsi="仿宋" w:eastAsia="仿宋"/>
                <w:color w:val="auto"/>
                <w:sz w:val="24"/>
              </w:rPr>
              <w:t>6</w:t>
            </w:r>
            <w:r>
              <w:rPr>
                <w:rFonts w:hint="eastAsia" w:ascii="仿宋" w:hAnsi="仿宋" w:eastAsia="仿宋"/>
                <w:color w:val="auto"/>
                <w:sz w:val="24"/>
              </w:rPr>
              <w:t>4核/512GB/6T *3</w:t>
            </w:r>
          </w:p>
        </w:tc>
        <w:tc>
          <w:tcPr>
            <w:tcW w:w="833" w:type="pct"/>
          </w:tcPr>
          <w:p w14:paraId="3CEF4630">
            <w:pPr>
              <w:pStyle w:val="43"/>
              <w:rPr>
                <w:rFonts w:ascii="仿宋" w:hAnsi="仿宋" w:eastAsia="仿宋"/>
                <w:color w:val="auto"/>
                <w:sz w:val="24"/>
              </w:rPr>
            </w:pPr>
            <w:r>
              <w:rPr>
                <w:rFonts w:hint="eastAsia" w:ascii="仿宋" w:hAnsi="仿宋" w:eastAsia="仿宋"/>
                <w:color w:val="auto"/>
                <w:sz w:val="24"/>
              </w:rPr>
              <w:t>系统管理</w:t>
            </w:r>
          </w:p>
        </w:tc>
      </w:tr>
      <w:tr w14:paraId="167DDA9B">
        <w:tc>
          <w:tcPr>
            <w:tcW w:w="755" w:type="pct"/>
          </w:tcPr>
          <w:p w14:paraId="244E01CD">
            <w:pPr>
              <w:pStyle w:val="43"/>
              <w:rPr>
                <w:rFonts w:ascii="仿宋" w:hAnsi="仿宋" w:eastAsia="仿宋"/>
                <w:color w:val="auto"/>
                <w:sz w:val="24"/>
              </w:rPr>
            </w:pPr>
            <w:r>
              <w:rPr>
                <w:rFonts w:hint="eastAsia" w:ascii="仿宋" w:hAnsi="仿宋" w:eastAsia="仿宋"/>
                <w:color w:val="auto"/>
                <w:sz w:val="24"/>
              </w:rPr>
              <w:t>数据节点</w:t>
            </w:r>
          </w:p>
        </w:tc>
        <w:tc>
          <w:tcPr>
            <w:tcW w:w="1382" w:type="pct"/>
          </w:tcPr>
          <w:p w14:paraId="5FA7E74B">
            <w:pPr>
              <w:pStyle w:val="43"/>
              <w:rPr>
                <w:rFonts w:ascii="仿宋" w:hAnsi="仿宋" w:eastAsia="仿宋"/>
                <w:color w:val="auto"/>
                <w:sz w:val="24"/>
              </w:rPr>
            </w:pPr>
            <w:r>
              <w:rPr>
                <w:rFonts w:ascii="仿宋" w:hAnsi="仿宋" w:eastAsia="仿宋"/>
                <w:color w:val="auto"/>
                <w:sz w:val="24"/>
              </w:rPr>
              <w:t>同上或高密度存储型</w:t>
            </w:r>
          </w:p>
        </w:tc>
        <w:tc>
          <w:tcPr>
            <w:tcW w:w="962" w:type="pct"/>
          </w:tcPr>
          <w:p w14:paraId="47610F92">
            <w:pPr>
              <w:pStyle w:val="43"/>
              <w:rPr>
                <w:rFonts w:ascii="仿宋" w:hAnsi="仿宋" w:eastAsia="仿宋"/>
                <w:color w:val="auto"/>
                <w:sz w:val="24"/>
              </w:rPr>
            </w:pPr>
            <w:r>
              <w:rPr>
                <w:rFonts w:ascii="仿宋" w:hAnsi="仿宋" w:eastAsia="仿宋"/>
                <w:color w:val="auto"/>
                <w:sz w:val="24"/>
              </w:rPr>
              <w:t>ARM</w:t>
            </w:r>
          </w:p>
        </w:tc>
        <w:tc>
          <w:tcPr>
            <w:tcW w:w="1068" w:type="pct"/>
          </w:tcPr>
          <w:p w14:paraId="719F4062">
            <w:pPr>
              <w:pStyle w:val="43"/>
              <w:rPr>
                <w:rFonts w:ascii="仿宋" w:hAnsi="仿宋" w:eastAsia="仿宋"/>
                <w:color w:val="auto"/>
                <w:sz w:val="24"/>
              </w:rPr>
            </w:pPr>
            <w:r>
              <w:rPr>
                <w:rFonts w:hint="eastAsia" w:ascii="仿宋" w:hAnsi="仿宋" w:eastAsia="仿宋"/>
                <w:color w:val="auto"/>
                <w:sz w:val="24"/>
              </w:rPr>
              <w:t>48核/384GB/6T *8</w:t>
            </w:r>
          </w:p>
        </w:tc>
        <w:tc>
          <w:tcPr>
            <w:tcW w:w="833" w:type="pct"/>
          </w:tcPr>
          <w:p w14:paraId="0575E278">
            <w:pPr>
              <w:pStyle w:val="43"/>
              <w:rPr>
                <w:rFonts w:ascii="仿宋" w:hAnsi="仿宋" w:eastAsia="仿宋"/>
                <w:color w:val="auto"/>
                <w:sz w:val="24"/>
              </w:rPr>
            </w:pPr>
            <w:r>
              <w:rPr>
                <w:rFonts w:ascii="仿宋" w:hAnsi="仿宋" w:eastAsia="仿宋"/>
                <w:color w:val="auto"/>
                <w:sz w:val="24"/>
              </w:rPr>
              <w:t>数据存储</w:t>
            </w:r>
            <w:r>
              <w:rPr>
                <w:rFonts w:hint="eastAsia" w:ascii="仿宋" w:hAnsi="仿宋" w:eastAsia="仿宋"/>
                <w:color w:val="auto"/>
                <w:sz w:val="24"/>
              </w:rPr>
              <w:t>与计算</w:t>
            </w:r>
          </w:p>
        </w:tc>
      </w:tr>
    </w:tbl>
    <w:p w14:paraId="75382AF2">
      <w:pPr>
        <w:spacing w:before="80" w:after="80"/>
        <w:rPr>
          <w:rFonts w:hint="eastAsia"/>
          <w:color w:val="auto"/>
        </w:rPr>
      </w:pPr>
    </w:p>
    <w:p w14:paraId="06D4806D">
      <w:pPr>
        <w:pStyle w:val="6"/>
        <w:rPr>
          <w:rFonts w:hint="eastAsia"/>
          <w:color w:val="auto"/>
        </w:rPr>
      </w:pPr>
      <w:r>
        <w:rPr>
          <w:color w:val="auto"/>
        </w:rPr>
        <w:t>操作系统国产化</w:t>
      </w:r>
    </w:p>
    <w:p w14:paraId="214F887A">
      <w:pPr>
        <w:pStyle w:val="42"/>
        <w:jc w:val="both"/>
        <w:rPr>
          <w:rFonts w:hint="eastAsia"/>
          <w:color w:val="auto"/>
        </w:rPr>
      </w:pPr>
      <w:r>
        <w:rPr>
          <w:color w:val="auto"/>
          <w:szCs w:val="22"/>
        </w:rPr>
        <w:t>新引入的ARM节点统一安装国产操作系统，具体要求如下：</w:t>
      </w:r>
    </w:p>
    <w:p w14:paraId="0333709D">
      <w:pPr>
        <w:pStyle w:val="35"/>
        <w:widowControl/>
        <w:numPr>
          <w:ilvl w:val="0"/>
          <w:numId w:val="5"/>
        </w:numPr>
        <w:ind w:left="840" w:hanging="420"/>
        <w:contextualSpacing w:val="0"/>
        <w:rPr>
          <w:rFonts w:hint="eastAsia"/>
          <w:color w:val="auto"/>
        </w:rPr>
      </w:pPr>
      <w:r>
        <w:rPr>
          <w:rFonts w:ascii="仿宋" w:hAnsi="仿宋" w:cs="仿宋"/>
          <w:color w:val="auto"/>
          <w:szCs w:val="22"/>
        </w:rPr>
        <w:t>操作系统版本：银河麒麟高级服务器操作系统V10 SP2（ARM版）或统信UOS服务器版V20</w:t>
      </w:r>
    </w:p>
    <w:p w14:paraId="6773E4AA">
      <w:pPr>
        <w:pStyle w:val="35"/>
        <w:widowControl/>
        <w:numPr>
          <w:ilvl w:val="0"/>
          <w:numId w:val="5"/>
        </w:numPr>
        <w:ind w:left="840" w:hanging="420"/>
        <w:contextualSpacing w:val="0"/>
        <w:rPr>
          <w:rFonts w:hint="eastAsia"/>
          <w:color w:val="auto"/>
        </w:rPr>
      </w:pPr>
      <w:r>
        <w:rPr>
          <w:rFonts w:ascii="仿宋" w:hAnsi="仿宋" w:cs="仿宋"/>
          <w:color w:val="auto"/>
          <w:szCs w:val="22"/>
        </w:rPr>
        <w:t>内核版本：≥5.10，支持cgroup v2，满足TDH 9.3对内核参数的要求</w:t>
      </w:r>
    </w:p>
    <w:p w14:paraId="64183F59">
      <w:pPr>
        <w:pStyle w:val="35"/>
        <w:widowControl/>
        <w:numPr>
          <w:ilvl w:val="0"/>
          <w:numId w:val="5"/>
        </w:numPr>
        <w:ind w:left="840" w:hanging="420"/>
        <w:contextualSpacing w:val="0"/>
        <w:rPr>
          <w:rFonts w:hint="eastAsia"/>
          <w:color w:val="auto"/>
        </w:rPr>
      </w:pPr>
      <w:r>
        <w:rPr>
          <w:rFonts w:ascii="仿宋" w:hAnsi="仿宋" w:cs="仿宋"/>
          <w:color w:val="auto"/>
          <w:szCs w:val="22"/>
        </w:rPr>
        <w:t>文件系统：ext4/xfs，挂载参数按TDH最佳实践配置</w:t>
      </w:r>
    </w:p>
    <w:p w14:paraId="11433844">
      <w:pPr>
        <w:pStyle w:val="35"/>
        <w:widowControl/>
        <w:numPr>
          <w:ilvl w:val="0"/>
          <w:numId w:val="5"/>
        </w:numPr>
        <w:ind w:left="840" w:hanging="420"/>
        <w:contextualSpacing w:val="0"/>
        <w:rPr>
          <w:rFonts w:hint="eastAsia"/>
          <w:color w:val="auto"/>
        </w:rPr>
      </w:pPr>
      <w:r>
        <w:rPr>
          <w:rFonts w:ascii="仿宋" w:hAnsi="仿宋" w:cs="仿宋"/>
          <w:color w:val="auto"/>
          <w:szCs w:val="22"/>
        </w:rPr>
        <w:t>网络协议栈：优化TCP缓冲区、中断绑定等内核参数，降低网络延迟</w:t>
      </w:r>
    </w:p>
    <w:p w14:paraId="5AD230A3">
      <w:pPr>
        <w:pStyle w:val="35"/>
        <w:widowControl/>
        <w:numPr>
          <w:ilvl w:val="0"/>
          <w:numId w:val="5"/>
        </w:numPr>
        <w:ind w:left="840" w:hanging="420"/>
        <w:contextualSpacing w:val="0"/>
        <w:rPr>
          <w:rFonts w:hint="eastAsia"/>
          <w:color w:val="auto"/>
        </w:rPr>
      </w:pPr>
      <w:r>
        <w:rPr>
          <w:rFonts w:ascii="仿宋" w:hAnsi="仿宋" w:cs="仿宋"/>
          <w:color w:val="auto"/>
          <w:szCs w:val="22"/>
        </w:rPr>
        <w:t>安全加固：关闭不必要服务，开启审计日志，按等保要求完成基线加固</w:t>
      </w:r>
    </w:p>
    <w:p w14:paraId="4CA0D64C">
      <w:pPr>
        <w:pStyle w:val="6"/>
        <w:rPr>
          <w:rFonts w:hint="eastAsia"/>
          <w:color w:val="auto"/>
        </w:rPr>
      </w:pPr>
      <w:r>
        <w:rPr>
          <w:color w:val="auto"/>
        </w:rPr>
        <w:t>ARM适配验证流程</w:t>
      </w:r>
    </w:p>
    <w:p w14:paraId="514A0FD4">
      <w:pPr>
        <w:pStyle w:val="42"/>
        <w:jc w:val="both"/>
        <w:rPr>
          <w:rFonts w:hint="eastAsia"/>
          <w:color w:val="auto"/>
        </w:rPr>
      </w:pPr>
      <w:r>
        <w:rPr>
          <w:color w:val="auto"/>
          <w:szCs w:val="22"/>
        </w:rPr>
        <w:t>在ARM节点正式纳入生产调度前，须完成以下适配验证：</w:t>
      </w:r>
    </w:p>
    <w:p w14:paraId="214E1946">
      <w:pPr>
        <w:pStyle w:val="7"/>
        <w:rPr>
          <w:rFonts w:hint="eastAsia"/>
          <w:color w:val="auto"/>
        </w:rPr>
      </w:pPr>
      <w:r>
        <w:rPr>
          <w:color w:val="auto"/>
        </w:rPr>
        <w:t>第一阶段：基础适配测试</w:t>
      </w:r>
    </w:p>
    <w:p w14:paraId="4C2C636D">
      <w:pPr>
        <w:pStyle w:val="42"/>
        <w:jc w:val="both"/>
        <w:rPr>
          <w:rFonts w:hint="eastAsia"/>
          <w:color w:val="auto"/>
        </w:rPr>
      </w:pPr>
      <w:r>
        <w:rPr>
          <w:color w:val="auto"/>
          <w:szCs w:val="22"/>
        </w:rPr>
        <w:t>验证TDH 9.3各组件（HDFS DataNode、YARN NodeManager、ArgoDB Worker等）在ARM架构下的安装部署、启动运行、基础功能正确性。重点验证国产编译工具链（GCC for AArch64）编译的二进制包在飞腾/鲲鹏CPU上的运行稳定性。</w:t>
      </w:r>
    </w:p>
    <w:p w14:paraId="5DEF33FF">
      <w:pPr>
        <w:pStyle w:val="7"/>
        <w:rPr>
          <w:rFonts w:hint="eastAsia"/>
          <w:color w:val="auto"/>
        </w:rPr>
      </w:pPr>
      <w:r>
        <w:rPr>
          <w:color w:val="auto"/>
        </w:rPr>
        <w:t>第二阶段：性能基准测试</w:t>
      </w:r>
    </w:p>
    <w:p w14:paraId="3CAAB0F4">
      <w:pPr>
        <w:pStyle w:val="42"/>
        <w:jc w:val="both"/>
        <w:rPr>
          <w:rFonts w:hint="eastAsia"/>
          <w:color w:val="auto"/>
        </w:rPr>
      </w:pPr>
      <w:r>
        <w:rPr>
          <w:color w:val="auto"/>
          <w:szCs w:val="22"/>
        </w:rPr>
        <w:t>使用标准TPC-DS基准测试套件，在ARM节点上执行完整的99条查询，与X86节点基准对比，建立性能参考基线。若ARM节点单核性能低于X86节点，需相应调整YARN资源配置（如增加vcore数）以弥补性能差异。</w:t>
      </w:r>
    </w:p>
    <w:p w14:paraId="7B534905">
      <w:pPr>
        <w:pStyle w:val="7"/>
        <w:rPr>
          <w:rFonts w:hint="eastAsia"/>
          <w:color w:val="auto"/>
        </w:rPr>
      </w:pPr>
      <w:r>
        <w:rPr>
          <w:color w:val="auto"/>
        </w:rPr>
        <w:t>第三阶段：架构验证</w:t>
      </w:r>
    </w:p>
    <w:p w14:paraId="4525307D">
      <w:pPr>
        <w:pStyle w:val="42"/>
        <w:jc w:val="both"/>
        <w:rPr>
          <w:rFonts w:hint="eastAsia"/>
          <w:color w:val="auto"/>
        </w:rPr>
      </w:pPr>
      <w:r>
        <w:rPr>
          <w:color w:val="auto"/>
          <w:szCs w:val="22"/>
        </w:rPr>
        <w:t>在ARM节点与X86节点部署的环境下，验证调度器的正确性，确保计算作业能够按预期路由至目标架构节点，避免因架构混合导致的序列化兼容性问题。</w:t>
      </w:r>
    </w:p>
    <w:p w14:paraId="3EC20600">
      <w:pPr>
        <w:pStyle w:val="6"/>
        <w:rPr>
          <w:rFonts w:hint="eastAsia"/>
          <w:color w:val="auto"/>
        </w:rPr>
      </w:pPr>
      <w:r>
        <w:rPr>
          <w:color w:val="auto"/>
        </w:rPr>
        <w:t>国产中间件替换</w:t>
      </w:r>
    </w:p>
    <w:p w14:paraId="346CF8A1">
      <w:pPr>
        <w:pStyle w:val="42"/>
        <w:jc w:val="both"/>
        <w:rPr>
          <w:rFonts w:hint="eastAsia"/>
          <w:color w:val="auto"/>
        </w:rPr>
      </w:pPr>
      <w:r>
        <w:rPr>
          <w:color w:val="auto"/>
          <w:szCs w:val="22"/>
        </w:rPr>
        <w:t>除操作系统和硬件外，以下中间件组件也纳入信创替换范围：</w:t>
      </w:r>
    </w:p>
    <w:p w14:paraId="538B0F08">
      <w:pPr>
        <w:pStyle w:val="35"/>
        <w:widowControl/>
        <w:numPr>
          <w:ilvl w:val="0"/>
          <w:numId w:val="5"/>
        </w:numPr>
        <w:ind w:left="840" w:hanging="420"/>
        <w:contextualSpacing w:val="0"/>
        <w:rPr>
          <w:rFonts w:hint="eastAsia"/>
          <w:color w:val="auto"/>
        </w:rPr>
      </w:pPr>
      <w:r>
        <w:rPr>
          <w:rFonts w:ascii="仿宋" w:hAnsi="仿宋" w:cs="仿宋"/>
          <w:color w:val="auto"/>
          <w:szCs w:val="22"/>
        </w:rPr>
        <w:t>JDK：替换为毕昇JDK（华为）或腾讯Kona JDK（均基于OpenJDK，支持ARM）</w:t>
      </w:r>
    </w:p>
    <w:p w14:paraId="18CC77E1">
      <w:pPr>
        <w:pStyle w:val="35"/>
        <w:widowControl/>
        <w:numPr>
          <w:ilvl w:val="0"/>
          <w:numId w:val="5"/>
        </w:numPr>
        <w:ind w:left="840" w:hanging="420"/>
        <w:contextualSpacing w:val="0"/>
        <w:rPr>
          <w:rFonts w:hint="eastAsia"/>
          <w:color w:val="auto"/>
        </w:rPr>
      </w:pPr>
      <w:r>
        <w:rPr>
          <w:rFonts w:ascii="仿宋" w:hAnsi="仿宋" w:cs="仿宋"/>
          <w:color w:val="auto"/>
          <w:szCs w:val="22"/>
        </w:rPr>
        <w:t>数据库驱动：使用国产数据库厂商提供的ARM版JDBC驱动</w:t>
      </w:r>
    </w:p>
    <w:p w14:paraId="771FC1A2">
      <w:pPr>
        <w:pStyle w:val="35"/>
        <w:widowControl/>
        <w:numPr>
          <w:ilvl w:val="0"/>
          <w:numId w:val="5"/>
        </w:numPr>
        <w:ind w:left="840" w:hanging="420"/>
        <w:contextualSpacing w:val="0"/>
        <w:rPr>
          <w:rFonts w:hint="eastAsia"/>
          <w:color w:val="auto"/>
        </w:rPr>
      </w:pPr>
      <w:r>
        <w:rPr>
          <w:rFonts w:ascii="仿宋" w:hAnsi="仿宋" w:cs="仿宋"/>
          <w:color w:val="auto"/>
          <w:szCs w:val="22"/>
        </w:rPr>
        <w:t>消息队列：评估Kafka在ARM架构下的性能，如需替换可采用RocketMQ（Apache）国产版</w:t>
      </w:r>
    </w:p>
    <w:p w14:paraId="18546E52">
      <w:pPr>
        <w:pStyle w:val="35"/>
        <w:widowControl/>
        <w:numPr>
          <w:ilvl w:val="0"/>
          <w:numId w:val="5"/>
        </w:numPr>
        <w:ind w:left="840" w:hanging="420"/>
        <w:contextualSpacing w:val="0"/>
        <w:rPr>
          <w:rFonts w:hint="eastAsia"/>
          <w:color w:val="auto"/>
        </w:rPr>
      </w:pPr>
      <w:r>
        <w:rPr>
          <w:rFonts w:ascii="仿宋" w:hAnsi="仿宋" w:cs="仿宋"/>
          <w:color w:val="auto"/>
          <w:szCs w:val="22"/>
        </w:rPr>
        <w:t>监控组件：Prometheus + Grafana国产信创适配版，或替换为国产监控平台</w:t>
      </w:r>
    </w:p>
    <w:p w14:paraId="7A190D09">
      <w:pPr>
        <w:pStyle w:val="5"/>
        <w:rPr>
          <w:rFonts w:hint="eastAsia"/>
          <w:color w:val="auto"/>
        </w:rPr>
      </w:pPr>
      <w:r>
        <w:rPr>
          <w:color w:val="auto"/>
        </w:rPr>
        <w:t>数据库升级方案</w:t>
      </w:r>
    </w:p>
    <w:p w14:paraId="2E161CE3">
      <w:pPr>
        <w:pStyle w:val="6"/>
        <w:rPr>
          <w:rFonts w:hint="eastAsia"/>
          <w:color w:val="auto"/>
        </w:rPr>
      </w:pPr>
      <w:r>
        <w:rPr>
          <w:color w:val="auto"/>
        </w:rPr>
        <w:t>ArgoDB 6.2技术介绍</w:t>
      </w:r>
    </w:p>
    <w:p w14:paraId="215F0BCE">
      <w:pPr>
        <w:pStyle w:val="42"/>
        <w:jc w:val="both"/>
        <w:rPr>
          <w:rFonts w:hint="eastAsia"/>
          <w:color w:val="auto"/>
        </w:rPr>
      </w:pPr>
      <w:r>
        <w:rPr>
          <w:color w:val="auto"/>
          <w:szCs w:val="22"/>
        </w:rPr>
        <w:t>ArgoDB 6.2是星环科技推出的新一代HTAP（混合事务/分析处理）数据库引擎，构建于自研的向量化执行引擎之上，相比Inceptor在以下方面实现了显著提升：</w:t>
      </w:r>
    </w:p>
    <w:p w14:paraId="5654A16C">
      <w:pPr>
        <w:pStyle w:val="35"/>
        <w:widowControl/>
        <w:numPr>
          <w:ilvl w:val="0"/>
          <w:numId w:val="5"/>
        </w:numPr>
        <w:ind w:left="840" w:hanging="420"/>
        <w:contextualSpacing w:val="0"/>
        <w:rPr>
          <w:rFonts w:hint="eastAsia"/>
          <w:color w:val="auto"/>
        </w:rPr>
      </w:pPr>
      <w:r>
        <w:rPr>
          <w:rFonts w:ascii="仿宋" w:hAnsi="仿宋" w:cs="仿宋"/>
          <w:color w:val="auto"/>
          <w:szCs w:val="22"/>
        </w:rPr>
        <w:t>向量化执行：利用CPU SIMD指令集（AVX2/NEON），实现列批量计算，查询速度相比Inceptor提升3-10倍</w:t>
      </w:r>
    </w:p>
    <w:p w14:paraId="07C17FEF">
      <w:pPr>
        <w:pStyle w:val="35"/>
        <w:widowControl/>
        <w:numPr>
          <w:ilvl w:val="0"/>
          <w:numId w:val="5"/>
        </w:numPr>
        <w:ind w:left="840" w:hanging="420"/>
        <w:contextualSpacing w:val="0"/>
        <w:rPr>
          <w:rFonts w:hint="eastAsia"/>
          <w:color w:val="auto"/>
        </w:rPr>
      </w:pPr>
      <w:r>
        <w:rPr>
          <w:rFonts w:ascii="仿宋" w:hAnsi="仿宋" w:cs="仿宋"/>
          <w:color w:val="auto"/>
          <w:szCs w:val="22"/>
        </w:rPr>
        <w:t>HTAP支持：同时支持高吞吐批量写入和低延迟在线分析，无需数据ETL即可实现实时分析</w:t>
      </w:r>
    </w:p>
    <w:p w14:paraId="2555A32E">
      <w:pPr>
        <w:pStyle w:val="35"/>
        <w:widowControl/>
        <w:numPr>
          <w:ilvl w:val="0"/>
          <w:numId w:val="5"/>
        </w:numPr>
        <w:ind w:left="840" w:hanging="420"/>
        <w:contextualSpacing w:val="0"/>
        <w:rPr>
          <w:rFonts w:hint="eastAsia"/>
          <w:color w:val="auto"/>
        </w:rPr>
      </w:pPr>
      <w:r>
        <w:rPr>
          <w:rFonts w:ascii="仿宋" w:hAnsi="仿宋" w:cs="仿宋"/>
          <w:color w:val="auto"/>
          <w:szCs w:val="22"/>
        </w:rPr>
        <w:t>存储优化：自研列存格式，支持多级数据分区、二级索引、布隆过滤器，大幅减少数据扫描量</w:t>
      </w:r>
    </w:p>
    <w:p w14:paraId="6161EDC1">
      <w:pPr>
        <w:pStyle w:val="35"/>
        <w:widowControl/>
        <w:numPr>
          <w:ilvl w:val="0"/>
          <w:numId w:val="5"/>
        </w:numPr>
        <w:ind w:left="840" w:hanging="420"/>
        <w:contextualSpacing w:val="0"/>
        <w:rPr>
          <w:rFonts w:hint="eastAsia"/>
          <w:color w:val="auto"/>
        </w:rPr>
      </w:pPr>
      <w:r>
        <w:rPr>
          <w:rFonts w:ascii="仿宋" w:hAnsi="仿宋" w:cs="仿宋"/>
          <w:color w:val="auto"/>
          <w:szCs w:val="22"/>
        </w:rPr>
        <w:t>ARM原生支持：完整支持ARM架构，在飞腾/鲲鹏等国产CPU上有专项性能优化</w:t>
      </w:r>
    </w:p>
    <w:p w14:paraId="04EB0159">
      <w:pPr>
        <w:pStyle w:val="6"/>
        <w:rPr>
          <w:rFonts w:hint="eastAsia"/>
          <w:color w:val="auto"/>
        </w:rPr>
      </w:pPr>
      <w:r>
        <w:rPr>
          <w:color w:val="auto"/>
        </w:rPr>
        <w:t>Inceptor到ArgoDB迁移策略</w:t>
      </w:r>
    </w:p>
    <w:p w14:paraId="469F6CF4">
      <w:pPr>
        <w:pStyle w:val="7"/>
        <w:rPr>
          <w:rFonts w:hint="eastAsia"/>
          <w:color w:val="auto"/>
        </w:rPr>
      </w:pPr>
      <w:r>
        <w:rPr>
          <w:color w:val="auto"/>
        </w:rPr>
        <w:t>SQL兼容性评估</w:t>
      </w:r>
    </w:p>
    <w:p w14:paraId="6D239A44">
      <w:pPr>
        <w:pStyle w:val="42"/>
        <w:jc w:val="both"/>
        <w:rPr>
          <w:rFonts w:hint="eastAsia"/>
          <w:color w:val="auto"/>
        </w:rPr>
      </w:pPr>
      <w:r>
        <w:rPr>
          <w:color w:val="auto"/>
          <w:szCs w:val="22"/>
        </w:rPr>
        <w:t>组织专项SQL兼容性评估工作组，对现有所有HiveSQL、InceptorSQL作业进行语法扫描，重点关注以下不兼容项：</w:t>
      </w:r>
    </w:p>
    <w:p w14:paraId="09E20370">
      <w:pPr>
        <w:pStyle w:val="35"/>
        <w:widowControl/>
        <w:numPr>
          <w:ilvl w:val="0"/>
          <w:numId w:val="5"/>
        </w:numPr>
        <w:ind w:left="840" w:hanging="420"/>
        <w:contextualSpacing w:val="0"/>
        <w:rPr>
          <w:rFonts w:hint="eastAsia"/>
          <w:color w:val="auto"/>
        </w:rPr>
      </w:pPr>
      <w:r>
        <w:rPr>
          <w:rFonts w:ascii="仿宋" w:hAnsi="仿宋" w:cs="仿宋"/>
          <w:color w:val="auto"/>
          <w:szCs w:val="22"/>
        </w:rPr>
        <w:t>Inceptor特有函数（如部分地理空间函数、时序函数）的ArgoDB替代方案</w:t>
      </w:r>
    </w:p>
    <w:p w14:paraId="3EAAA658">
      <w:pPr>
        <w:pStyle w:val="35"/>
        <w:widowControl/>
        <w:numPr>
          <w:ilvl w:val="0"/>
          <w:numId w:val="5"/>
        </w:numPr>
        <w:ind w:left="840" w:hanging="420"/>
        <w:contextualSpacing w:val="0"/>
        <w:rPr>
          <w:rFonts w:hint="eastAsia"/>
          <w:color w:val="auto"/>
        </w:rPr>
      </w:pPr>
      <w:r>
        <w:rPr>
          <w:rFonts w:ascii="仿宋" w:hAnsi="仿宋" w:cs="仿宋"/>
          <w:color w:val="auto"/>
          <w:szCs w:val="22"/>
        </w:rPr>
        <w:t>隐式类型转换行为差异（ArgoDB更严格，可能导致原有查询报错）</w:t>
      </w:r>
    </w:p>
    <w:p w14:paraId="33BC62D3">
      <w:pPr>
        <w:pStyle w:val="35"/>
        <w:widowControl/>
        <w:numPr>
          <w:ilvl w:val="0"/>
          <w:numId w:val="5"/>
        </w:numPr>
        <w:ind w:left="840" w:hanging="420"/>
        <w:contextualSpacing w:val="0"/>
        <w:rPr>
          <w:rFonts w:hint="eastAsia"/>
          <w:color w:val="auto"/>
        </w:rPr>
      </w:pPr>
      <w:r>
        <w:rPr>
          <w:rFonts w:ascii="仿宋" w:hAnsi="仿宋" w:cs="仿宋"/>
          <w:color w:val="auto"/>
          <w:szCs w:val="22"/>
        </w:rPr>
        <w:t>JOIN语义差异（特别是LEFT SEMI JOIN、LATERAL VIEW等高级语法）</w:t>
      </w:r>
    </w:p>
    <w:p w14:paraId="5D27FEDC">
      <w:pPr>
        <w:pStyle w:val="35"/>
        <w:widowControl/>
        <w:numPr>
          <w:ilvl w:val="0"/>
          <w:numId w:val="5"/>
        </w:numPr>
        <w:ind w:left="840" w:hanging="420"/>
        <w:contextualSpacing w:val="0"/>
        <w:rPr>
          <w:rFonts w:hint="eastAsia"/>
          <w:color w:val="auto"/>
        </w:rPr>
      </w:pPr>
      <w:r>
        <w:rPr>
          <w:rFonts w:ascii="仿宋" w:hAnsi="仿宋" w:cs="仿宋"/>
          <w:color w:val="auto"/>
          <w:szCs w:val="22"/>
        </w:rPr>
        <w:t>窗口函数边界处理差异</w:t>
      </w:r>
    </w:p>
    <w:p w14:paraId="62691F54">
      <w:pPr>
        <w:pStyle w:val="42"/>
        <w:jc w:val="both"/>
        <w:rPr>
          <w:rFonts w:hint="eastAsia"/>
          <w:color w:val="auto"/>
        </w:rPr>
      </w:pPr>
      <w:r>
        <w:rPr>
          <w:color w:val="auto"/>
          <w:szCs w:val="22"/>
        </w:rPr>
        <w:t>评估完成后形成SQL兼容性报告，对不兼容项逐一制定改写方案，并通过测试验证改写后查询结果的一致性。</w:t>
      </w:r>
    </w:p>
    <w:p w14:paraId="75E3B872">
      <w:pPr>
        <w:pStyle w:val="7"/>
        <w:rPr>
          <w:rFonts w:hint="eastAsia"/>
          <w:color w:val="auto"/>
        </w:rPr>
      </w:pPr>
      <w:r>
        <w:rPr>
          <w:color w:val="auto"/>
        </w:rPr>
        <w:t>Scope查询迁移</w:t>
      </w:r>
    </w:p>
    <w:p w14:paraId="3C27F2F0">
      <w:pPr>
        <w:pStyle w:val="42"/>
        <w:jc w:val="both"/>
        <w:rPr>
          <w:rFonts w:hint="eastAsia"/>
          <w:color w:val="auto"/>
        </w:rPr>
      </w:pPr>
      <w:r>
        <w:rPr>
          <w:color w:val="auto"/>
          <w:szCs w:val="22"/>
        </w:rPr>
        <w:t>Scope是TDH平台内部的高性能查询协议，业务系统通过Scope Driver访问数据。迁移步骤如下：</w:t>
      </w:r>
    </w:p>
    <w:p w14:paraId="639FAF09">
      <w:pPr>
        <w:pStyle w:val="35"/>
        <w:widowControl/>
        <w:numPr>
          <w:ilvl w:val="0"/>
          <w:numId w:val="7"/>
        </w:numPr>
        <w:ind w:left="420" w:leftChars="175"/>
        <w:contextualSpacing w:val="0"/>
        <w:rPr>
          <w:rFonts w:hint="eastAsia"/>
          <w:color w:val="auto"/>
        </w:rPr>
      </w:pPr>
      <w:r>
        <w:rPr>
          <w:rFonts w:ascii="仿宋" w:hAnsi="仿宋" w:cs="仿宋"/>
          <w:color w:val="auto"/>
          <w:szCs w:val="22"/>
        </w:rPr>
        <w:t>升级Scope Driver至支持ArgoDB的新版本（ArgoDB 6.2随附Scope 5.x Driver）</w:t>
      </w:r>
    </w:p>
    <w:p w14:paraId="000AE1E9">
      <w:pPr>
        <w:pStyle w:val="35"/>
        <w:widowControl/>
        <w:numPr>
          <w:ilvl w:val="0"/>
          <w:numId w:val="7"/>
        </w:numPr>
        <w:ind w:left="840" w:hanging="420"/>
        <w:contextualSpacing w:val="0"/>
        <w:rPr>
          <w:rFonts w:hint="eastAsia"/>
          <w:color w:val="auto"/>
        </w:rPr>
      </w:pPr>
      <w:r>
        <w:rPr>
          <w:rFonts w:ascii="仿宋" w:hAnsi="仿宋" w:cs="仿宋"/>
          <w:color w:val="auto"/>
          <w:szCs w:val="22"/>
        </w:rPr>
        <w:t>将Scope连接字符串中的目标引擎由Inceptor切换至ArgoDB</w:t>
      </w:r>
    </w:p>
    <w:p w14:paraId="3C8961DD">
      <w:pPr>
        <w:pStyle w:val="35"/>
        <w:widowControl/>
        <w:numPr>
          <w:ilvl w:val="0"/>
          <w:numId w:val="7"/>
        </w:numPr>
        <w:ind w:left="840" w:hanging="420"/>
        <w:contextualSpacing w:val="0"/>
        <w:rPr>
          <w:rFonts w:hint="eastAsia"/>
          <w:color w:val="auto"/>
        </w:rPr>
      </w:pPr>
      <w:r>
        <w:rPr>
          <w:rFonts w:ascii="仿宋" w:hAnsi="仿宋" w:cs="仿宋"/>
          <w:color w:val="auto"/>
          <w:szCs w:val="22"/>
        </w:rPr>
        <w:t>在测试环境验证所有Scope查询语句在ArgoDB上的执行结果</w:t>
      </w:r>
    </w:p>
    <w:p w14:paraId="7D7C3A4B">
      <w:pPr>
        <w:pStyle w:val="35"/>
        <w:widowControl/>
        <w:numPr>
          <w:ilvl w:val="0"/>
          <w:numId w:val="7"/>
        </w:numPr>
        <w:ind w:left="840" w:hanging="420"/>
        <w:contextualSpacing w:val="0"/>
        <w:rPr>
          <w:rFonts w:hint="eastAsia"/>
          <w:color w:val="auto"/>
        </w:rPr>
      </w:pPr>
      <w:r>
        <w:rPr>
          <w:rFonts w:ascii="仿宋" w:hAnsi="仿宋" w:cs="仿宋"/>
          <w:color w:val="auto"/>
          <w:szCs w:val="22"/>
        </w:rPr>
        <w:t>在灰度期间，通过Scope路由层（Scope Proxy）实现请求的动态路由：按业务系统、按查询模式将部分请求路由至ArgoDB，其余仍走Inceptor</w:t>
      </w:r>
    </w:p>
    <w:p w14:paraId="21D54303">
      <w:pPr>
        <w:pStyle w:val="35"/>
        <w:widowControl/>
        <w:numPr>
          <w:ilvl w:val="0"/>
          <w:numId w:val="7"/>
        </w:numPr>
        <w:ind w:left="840" w:hanging="420"/>
        <w:contextualSpacing w:val="0"/>
        <w:rPr>
          <w:rFonts w:hint="eastAsia"/>
          <w:color w:val="auto"/>
        </w:rPr>
      </w:pPr>
      <w:r>
        <w:rPr>
          <w:rFonts w:ascii="仿宋" w:hAnsi="仿宋" w:cs="仿宋"/>
          <w:color w:val="auto"/>
          <w:szCs w:val="22"/>
        </w:rPr>
        <w:t>待ArgoDB侧Scope查询全部验证通过后，全量切换Scope路由至ArgoDB</w:t>
      </w:r>
    </w:p>
    <w:p w14:paraId="0D7895FF">
      <w:pPr>
        <w:pStyle w:val="6"/>
        <w:rPr>
          <w:rFonts w:hint="eastAsia"/>
          <w:color w:val="auto"/>
        </w:rPr>
      </w:pPr>
      <w:r>
        <w:rPr>
          <w:color w:val="auto"/>
        </w:rPr>
        <w:t>Hive迁移方案</w:t>
      </w:r>
    </w:p>
    <w:p w14:paraId="661F0B2F">
      <w:pPr>
        <w:pStyle w:val="42"/>
        <w:jc w:val="both"/>
        <w:rPr>
          <w:rFonts w:hint="eastAsia"/>
          <w:color w:val="auto"/>
        </w:rPr>
      </w:pPr>
      <w:r>
        <w:rPr>
          <w:color w:val="auto"/>
          <w:szCs w:val="22"/>
        </w:rPr>
        <w:t>升级后Hive Metastore（HMS）统一管理ArgoDB和</w:t>
      </w:r>
      <w:r>
        <w:rPr>
          <w:rFonts w:hint="eastAsia"/>
          <w:color w:val="auto"/>
          <w:szCs w:val="22"/>
        </w:rPr>
        <w:t>Inceptor</w:t>
      </w:r>
      <w:r>
        <w:rPr>
          <w:color w:val="auto"/>
          <w:szCs w:val="22"/>
        </w:rPr>
        <w:t>/</w:t>
      </w:r>
      <w:r>
        <w:rPr>
          <w:rFonts w:hint="eastAsia"/>
          <w:color w:val="auto"/>
          <w:szCs w:val="22"/>
        </w:rPr>
        <w:t>Slipstream</w:t>
      </w:r>
      <w:r>
        <w:rPr>
          <w:color w:val="auto"/>
          <w:szCs w:val="22"/>
        </w:rPr>
        <w:t>所使用的元数据，实现元数据统一。迁移步骤：</w:t>
      </w:r>
    </w:p>
    <w:p w14:paraId="4FFD0914">
      <w:pPr>
        <w:pStyle w:val="35"/>
        <w:widowControl/>
        <w:numPr>
          <w:ilvl w:val="0"/>
          <w:numId w:val="5"/>
        </w:numPr>
        <w:ind w:left="840" w:hanging="420"/>
        <w:contextualSpacing w:val="0"/>
        <w:rPr>
          <w:rFonts w:hint="eastAsia"/>
          <w:color w:val="auto"/>
        </w:rPr>
      </w:pPr>
      <w:r>
        <w:rPr>
          <w:rFonts w:ascii="仿宋" w:hAnsi="仿宋" w:cs="仿宋"/>
          <w:color w:val="auto"/>
          <w:szCs w:val="22"/>
        </w:rPr>
        <w:t>备份现有HMS数据库（MySQL），导出完整DDL和表元数据</w:t>
      </w:r>
    </w:p>
    <w:p w14:paraId="39521989">
      <w:pPr>
        <w:pStyle w:val="35"/>
        <w:widowControl/>
        <w:numPr>
          <w:ilvl w:val="0"/>
          <w:numId w:val="5"/>
        </w:numPr>
        <w:ind w:left="840" w:hanging="420"/>
        <w:contextualSpacing w:val="0"/>
        <w:rPr>
          <w:rFonts w:hint="eastAsia"/>
          <w:color w:val="auto"/>
        </w:rPr>
      </w:pPr>
      <w:r>
        <w:rPr>
          <w:rFonts w:ascii="仿宋" w:hAnsi="仿宋" w:cs="仿宋"/>
          <w:color w:val="auto"/>
          <w:szCs w:val="22"/>
        </w:rPr>
        <w:t>在新集群部署HMS 3.x，导入历史元数据</w:t>
      </w:r>
    </w:p>
    <w:p w14:paraId="1DAA6B5F">
      <w:pPr>
        <w:pStyle w:val="35"/>
        <w:widowControl/>
        <w:numPr>
          <w:ilvl w:val="0"/>
          <w:numId w:val="5"/>
        </w:numPr>
        <w:ind w:left="840" w:hanging="420"/>
        <w:contextualSpacing w:val="0"/>
        <w:rPr>
          <w:rFonts w:hint="eastAsia"/>
          <w:color w:val="auto"/>
        </w:rPr>
      </w:pPr>
      <w:r>
        <w:rPr>
          <w:rFonts w:ascii="仿宋" w:hAnsi="仿宋" w:cs="仿宋"/>
          <w:color w:val="auto"/>
          <w:szCs w:val="22"/>
        </w:rPr>
        <w:t>启用HMS HA模式（主备双节点），避免元数据服务单点故障</w:t>
      </w:r>
    </w:p>
    <w:p w14:paraId="2DE5E3BE">
      <w:pPr>
        <w:pStyle w:val="35"/>
        <w:widowControl/>
        <w:numPr>
          <w:ilvl w:val="0"/>
          <w:numId w:val="5"/>
        </w:numPr>
        <w:ind w:left="840" w:hanging="420"/>
        <w:contextualSpacing w:val="0"/>
        <w:rPr>
          <w:rFonts w:hint="eastAsia"/>
          <w:color w:val="auto"/>
        </w:rPr>
      </w:pPr>
      <w:r>
        <w:rPr>
          <w:rFonts w:ascii="仿宋" w:hAnsi="仿宋" w:cs="仿宋"/>
          <w:color w:val="auto"/>
          <w:szCs w:val="22"/>
        </w:rPr>
        <w:t>配置ArgoDB、</w:t>
      </w:r>
      <w:r>
        <w:rPr>
          <w:rFonts w:hint="eastAsia" w:cs="仿宋"/>
          <w:color w:val="auto"/>
          <w:szCs w:val="22"/>
        </w:rPr>
        <w:t>Inceptor</w:t>
      </w:r>
      <w:r>
        <w:rPr>
          <w:rFonts w:ascii="仿宋" w:hAnsi="仿宋" w:cs="仿宋"/>
          <w:color w:val="auto"/>
          <w:szCs w:val="22"/>
        </w:rPr>
        <w:t>、</w:t>
      </w:r>
      <w:r>
        <w:rPr>
          <w:rFonts w:hint="eastAsia" w:cs="仿宋"/>
          <w:color w:val="auto"/>
          <w:szCs w:val="22"/>
        </w:rPr>
        <w:t>Slipstream</w:t>
      </w:r>
      <w:r>
        <w:rPr>
          <w:rFonts w:ascii="仿宋" w:hAnsi="仿宋" w:cs="仿宋"/>
          <w:color w:val="auto"/>
          <w:szCs w:val="22"/>
        </w:rPr>
        <w:t>统一指向新HMS，实现元数据共享</w:t>
      </w:r>
    </w:p>
    <w:p w14:paraId="675ECDC2">
      <w:pPr>
        <w:pStyle w:val="35"/>
        <w:widowControl/>
        <w:numPr>
          <w:ilvl w:val="0"/>
          <w:numId w:val="5"/>
        </w:numPr>
        <w:ind w:left="840" w:hanging="420"/>
        <w:contextualSpacing w:val="0"/>
        <w:rPr>
          <w:rFonts w:hint="eastAsia"/>
          <w:color w:val="auto"/>
        </w:rPr>
      </w:pPr>
      <w:r>
        <w:rPr>
          <w:rFonts w:ascii="仿宋" w:hAnsi="仿宋" w:cs="仿宋"/>
          <w:color w:val="auto"/>
          <w:szCs w:val="22"/>
        </w:rPr>
        <w:t>建立HMS变更同步机制：在双集群并行期间，对HMS的DDL变更（建表、修改分区等）在新旧集群同步执行</w:t>
      </w:r>
    </w:p>
    <w:p w14:paraId="3B086E3C">
      <w:pPr>
        <w:pStyle w:val="6"/>
        <w:rPr>
          <w:rFonts w:hint="eastAsia"/>
          <w:color w:val="auto"/>
        </w:rPr>
      </w:pPr>
      <w:r>
        <w:rPr>
          <w:color w:val="auto"/>
        </w:rPr>
        <w:t>YARN迁移方案</w:t>
      </w:r>
    </w:p>
    <w:p w14:paraId="4D79B6B5">
      <w:pPr>
        <w:pStyle w:val="42"/>
        <w:jc w:val="both"/>
        <w:rPr>
          <w:rFonts w:hint="eastAsia"/>
          <w:color w:val="auto"/>
        </w:rPr>
      </w:pPr>
      <w:r>
        <w:rPr>
          <w:color w:val="auto"/>
          <w:szCs w:val="22"/>
        </w:rPr>
        <w:t>YARN升级涉及所有批处理作业的调度切换，是迁移的核心环节之一。迁移策略如下：</w:t>
      </w:r>
    </w:p>
    <w:p w14:paraId="51631F76">
      <w:pPr>
        <w:pStyle w:val="35"/>
        <w:widowControl/>
        <w:numPr>
          <w:ilvl w:val="0"/>
          <w:numId w:val="5"/>
        </w:numPr>
        <w:ind w:left="840" w:hanging="420"/>
        <w:contextualSpacing w:val="0"/>
        <w:rPr>
          <w:rFonts w:hint="eastAsia"/>
          <w:color w:val="auto"/>
        </w:rPr>
      </w:pPr>
      <w:r>
        <w:rPr>
          <w:rFonts w:ascii="仿宋" w:hAnsi="仿宋" w:cs="仿宋"/>
          <w:color w:val="auto"/>
          <w:szCs w:val="22"/>
        </w:rPr>
        <w:t>新集群YARN配置与旧集群保持一致（队列结构、资源配额、调度策略），确保作业迁移后行为一致</w:t>
      </w:r>
    </w:p>
    <w:p w14:paraId="62BAC64F">
      <w:pPr>
        <w:pStyle w:val="35"/>
        <w:widowControl/>
        <w:numPr>
          <w:ilvl w:val="0"/>
          <w:numId w:val="5"/>
        </w:numPr>
        <w:ind w:left="840" w:hanging="420"/>
        <w:contextualSpacing w:val="0"/>
        <w:rPr>
          <w:rFonts w:hint="eastAsia"/>
          <w:color w:val="auto"/>
        </w:rPr>
      </w:pPr>
      <w:r>
        <w:rPr>
          <w:rFonts w:ascii="仿宋" w:hAnsi="仿宋" w:cs="仿宋"/>
          <w:color w:val="auto"/>
          <w:szCs w:val="22"/>
        </w:rPr>
        <w:t>在新集群YARN上预先创建与旧集群相同的队列结构，并按照现有资源配比进行初始化配置</w:t>
      </w:r>
    </w:p>
    <w:p w14:paraId="3256B9BD">
      <w:pPr>
        <w:pStyle w:val="35"/>
        <w:widowControl/>
        <w:numPr>
          <w:ilvl w:val="0"/>
          <w:numId w:val="5"/>
        </w:numPr>
        <w:ind w:left="840" w:hanging="420"/>
        <w:contextualSpacing w:val="0"/>
        <w:rPr>
          <w:rFonts w:hint="eastAsia"/>
          <w:color w:val="auto"/>
        </w:rPr>
      </w:pPr>
      <w:r>
        <w:rPr>
          <w:rFonts w:ascii="仿宋" w:hAnsi="仿宋" w:cs="仿宋"/>
          <w:color w:val="auto"/>
          <w:szCs w:val="22"/>
        </w:rPr>
        <w:t>调度系统（如DolphinScheduler/Azkaban）配置双集群提交入口，灰度期间可按作业类型分别提交</w:t>
      </w:r>
    </w:p>
    <w:p w14:paraId="442056DC">
      <w:pPr>
        <w:pStyle w:val="35"/>
        <w:widowControl/>
        <w:numPr>
          <w:ilvl w:val="0"/>
          <w:numId w:val="5"/>
        </w:numPr>
        <w:ind w:left="840" w:hanging="420"/>
        <w:contextualSpacing w:val="0"/>
        <w:rPr>
          <w:rFonts w:hint="eastAsia"/>
          <w:color w:val="auto"/>
        </w:rPr>
      </w:pPr>
      <w:r>
        <w:rPr>
          <w:rFonts w:ascii="仿宋" w:hAnsi="仿宋" w:cs="仿宋"/>
          <w:color w:val="auto"/>
          <w:szCs w:val="22"/>
        </w:rPr>
        <w:t>YARN节点标签（Node Label）区分ARM节点和X86节点，通过作业提交参数控制作业在特定架构上执行</w:t>
      </w:r>
    </w:p>
    <w:p w14:paraId="27B10F8A">
      <w:pPr>
        <w:pStyle w:val="5"/>
        <w:rPr>
          <w:rFonts w:hint="eastAsia"/>
          <w:color w:val="auto"/>
        </w:rPr>
      </w:pPr>
      <w:r>
        <w:rPr>
          <w:color w:val="auto"/>
        </w:rPr>
        <w:t>ArgoDB建设方案</w:t>
      </w:r>
    </w:p>
    <w:p w14:paraId="4EADDDE6">
      <w:pPr>
        <w:pStyle w:val="6"/>
        <w:rPr>
          <w:rFonts w:hint="eastAsia"/>
          <w:color w:val="auto"/>
        </w:rPr>
      </w:pPr>
      <w:r>
        <w:rPr>
          <w:color w:val="auto"/>
        </w:rPr>
        <w:t>ArgoDB存储分层设计</w:t>
      </w:r>
    </w:p>
    <w:p w14:paraId="7F26A64E">
      <w:pPr>
        <w:pStyle w:val="42"/>
        <w:jc w:val="both"/>
        <w:rPr>
          <w:rFonts w:hint="eastAsia"/>
          <w:color w:val="auto"/>
        </w:rPr>
      </w:pPr>
      <w:r>
        <w:rPr>
          <w:color w:val="auto"/>
          <w:szCs w:val="22"/>
        </w:rPr>
        <w:t>ArgoDB采用冷热数据分层存储策略：</w:t>
      </w:r>
    </w:p>
    <w:p w14:paraId="08C6F1CE">
      <w:pPr>
        <w:pStyle w:val="35"/>
        <w:widowControl/>
        <w:numPr>
          <w:ilvl w:val="0"/>
          <w:numId w:val="5"/>
        </w:numPr>
        <w:ind w:left="840" w:hanging="420"/>
        <w:contextualSpacing w:val="0"/>
        <w:rPr>
          <w:rFonts w:hint="eastAsia"/>
          <w:color w:val="auto"/>
        </w:rPr>
      </w:pPr>
      <w:r>
        <w:rPr>
          <w:rFonts w:ascii="仿宋" w:hAnsi="仿宋" w:cs="仿宋"/>
          <w:color w:val="auto"/>
          <w:szCs w:val="22"/>
        </w:rPr>
        <w:t>热数据层（NVMe SSD）：6-24个月数据，中频查询，响应目标&lt;10秒</w:t>
      </w:r>
    </w:p>
    <w:p w14:paraId="53371BDD">
      <w:pPr>
        <w:pStyle w:val="35"/>
        <w:widowControl/>
        <w:numPr>
          <w:ilvl w:val="0"/>
          <w:numId w:val="5"/>
        </w:numPr>
        <w:ind w:left="840" w:hanging="420"/>
        <w:contextualSpacing w:val="0"/>
        <w:rPr>
          <w:rFonts w:hint="eastAsia"/>
          <w:color w:val="auto"/>
        </w:rPr>
      </w:pPr>
      <w:r>
        <w:rPr>
          <w:rFonts w:ascii="仿宋" w:hAnsi="仿宋" w:cs="仿宋"/>
          <w:color w:val="auto"/>
          <w:szCs w:val="22"/>
        </w:rPr>
        <w:t>冷数据层（HDD/HDFS）：24个月以上数据，归档查询，</w:t>
      </w:r>
      <w:r>
        <w:rPr>
          <w:rFonts w:hint="eastAsia" w:cs="仿宋"/>
          <w:color w:val="auto"/>
          <w:szCs w:val="22"/>
        </w:rPr>
        <w:t>定期进行数据的归档</w:t>
      </w:r>
    </w:p>
    <w:p w14:paraId="0434D7B0">
      <w:pPr>
        <w:pStyle w:val="6"/>
        <w:rPr>
          <w:rFonts w:hint="eastAsia"/>
          <w:color w:val="auto"/>
        </w:rPr>
      </w:pPr>
      <w:r>
        <w:rPr>
          <w:color w:val="auto"/>
        </w:rPr>
        <w:t>ArgoDB多副本与高可用</w:t>
      </w:r>
    </w:p>
    <w:p w14:paraId="7A432BB6">
      <w:pPr>
        <w:pStyle w:val="42"/>
        <w:jc w:val="both"/>
        <w:rPr>
          <w:rFonts w:hint="eastAsia"/>
          <w:color w:val="auto"/>
        </w:rPr>
      </w:pPr>
      <w:r>
        <w:rPr>
          <w:color w:val="auto"/>
          <w:szCs w:val="22"/>
        </w:rPr>
        <w:t>ArgoDB数据默认采用3副本策略，在发生节点故障时，ArgoDB自动进行副本再均衡，数据可用性不受影响，恢复时间目标（RTO）&lt;5分钟。</w:t>
      </w:r>
    </w:p>
    <w:p w14:paraId="7DF0EED5">
      <w:pPr>
        <w:pStyle w:val="5"/>
        <w:rPr>
          <w:rFonts w:hint="eastAsia"/>
          <w:color w:val="auto"/>
        </w:rPr>
      </w:pPr>
      <w:r>
        <w:rPr>
          <w:color w:val="auto"/>
        </w:rPr>
        <w:t>多租户规划方案</w:t>
      </w:r>
    </w:p>
    <w:p w14:paraId="1F075C30">
      <w:pPr>
        <w:pStyle w:val="6"/>
        <w:rPr>
          <w:rFonts w:hint="eastAsia"/>
          <w:color w:val="auto"/>
        </w:rPr>
      </w:pPr>
      <w:r>
        <w:rPr>
          <w:color w:val="auto"/>
        </w:rPr>
        <w:t>多租户设计原则</w:t>
      </w:r>
    </w:p>
    <w:p w14:paraId="78686C2F">
      <w:pPr>
        <w:pStyle w:val="42"/>
        <w:jc w:val="both"/>
        <w:rPr>
          <w:rFonts w:hint="eastAsia"/>
          <w:color w:val="auto"/>
        </w:rPr>
      </w:pPr>
      <w:r>
        <w:rPr>
          <w:color w:val="auto"/>
          <w:szCs w:val="22"/>
        </w:rPr>
        <w:t>大数据平台多租户体系按照强隔离、细粒度、可审计的原则设计，确保不同委办局的数据和计算资源相互隔离，同时保证共享数据服务的统一出口。</w:t>
      </w:r>
    </w:p>
    <w:p w14:paraId="590B439B">
      <w:pPr>
        <w:pStyle w:val="6"/>
        <w:rPr>
          <w:rFonts w:hint="eastAsia"/>
          <w:color w:val="auto"/>
        </w:rPr>
      </w:pPr>
      <w:r>
        <w:rPr>
          <w:color w:val="auto"/>
        </w:rPr>
        <w:t>租户分层架构</w:t>
      </w:r>
    </w:p>
    <w:p w14:paraId="202D66F4">
      <w:pPr>
        <w:pStyle w:val="42"/>
        <w:jc w:val="both"/>
        <w:rPr>
          <w:rFonts w:hint="eastAsia"/>
          <w:color w:val="auto"/>
        </w:rPr>
      </w:pPr>
      <w:r>
        <w:rPr>
          <w:color w:val="auto"/>
          <w:szCs w:val="22"/>
        </w:rPr>
        <w:t>多租户体系分为三个层级：</w:t>
      </w:r>
    </w:p>
    <w:p w14:paraId="08D369B9">
      <w:pPr>
        <w:pStyle w:val="35"/>
        <w:widowControl/>
        <w:numPr>
          <w:ilvl w:val="0"/>
          <w:numId w:val="5"/>
        </w:numPr>
        <w:ind w:left="840" w:hanging="420"/>
        <w:contextualSpacing w:val="0"/>
        <w:rPr>
          <w:rFonts w:hint="eastAsia"/>
          <w:color w:val="auto"/>
        </w:rPr>
      </w:pPr>
      <w:r>
        <w:rPr>
          <w:rFonts w:ascii="仿宋" w:hAnsi="仿宋" w:cs="仿宋"/>
          <w:color w:val="auto"/>
          <w:szCs w:val="22"/>
        </w:rPr>
        <w:t>平台级租户（Platform Tenant）：平台管理员，拥有全局资源管控权限</w:t>
      </w:r>
    </w:p>
    <w:p w14:paraId="318B91D5">
      <w:pPr>
        <w:pStyle w:val="35"/>
        <w:widowControl/>
        <w:numPr>
          <w:ilvl w:val="0"/>
          <w:numId w:val="5"/>
        </w:numPr>
        <w:ind w:left="840" w:hanging="420"/>
        <w:contextualSpacing w:val="0"/>
        <w:rPr>
          <w:rFonts w:hint="eastAsia"/>
          <w:color w:val="auto"/>
        </w:rPr>
      </w:pPr>
      <w:r>
        <w:rPr>
          <w:rFonts w:ascii="仿宋" w:hAnsi="仿宋" w:cs="仿宋"/>
          <w:color w:val="auto"/>
          <w:szCs w:val="22"/>
        </w:rPr>
        <w:t>部门级租户（Department Tenant）：对应各委办局，拥有独立的资源配额、数据空间、用户权限</w:t>
      </w:r>
    </w:p>
    <w:p w14:paraId="526677FD">
      <w:pPr>
        <w:pStyle w:val="6"/>
        <w:rPr>
          <w:rFonts w:hint="eastAsia"/>
          <w:color w:val="auto"/>
        </w:rPr>
      </w:pPr>
      <w:r>
        <w:rPr>
          <w:color w:val="auto"/>
        </w:rPr>
        <w:t>资源通道设计</w:t>
      </w:r>
    </w:p>
    <w:p w14:paraId="4015F60F">
      <w:pPr>
        <w:pStyle w:val="42"/>
        <w:jc w:val="both"/>
        <w:rPr>
          <w:rFonts w:hint="eastAsia"/>
          <w:color w:val="auto"/>
        </w:rPr>
      </w:pPr>
      <w:r>
        <w:rPr>
          <w:color w:val="auto"/>
          <w:szCs w:val="22"/>
        </w:rPr>
        <w:t>为各租户配置专属</w:t>
      </w:r>
      <w:r>
        <w:rPr>
          <w:rFonts w:hint="eastAsia"/>
          <w:color w:val="auto"/>
          <w:szCs w:val="22"/>
        </w:rPr>
        <w:t>通道</w:t>
      </w:r>
      <w:r>
        <w:rPr>
          <w:color w:val="auto"/>
          <w:szCs w:val="22"/>
        </w:rPr>
        <w:t>，同时预留弹性扩展空间：</w:t>
      </w:r>
    </w:p>
    <w:p w14:paraId="258D6C6D">
      <w:pPr>
        <w:pStyle w:val="35"/>
        <w:widowControl/>
        <w:numPr>
          <w:ilvl w:val="0"/>
          <w:numId w:val="5"/>
        </w:numPr>
        <w:ind w:left="840" w:hanging="420"/>
        <w:contextualSpacing w:val="0"/>
        <w:rPr>
          <w:rFonts w:hint="eastAsia"/>
          <w:color w:val="auto"/>
        </w:rPr>
      </w:pPr>
      <w:r>
        <w:rPr>
          <w:rFonts w:ascii="仿宋" w:hAnsi="仿宋" w:cs="仿宋"/>
          <w:color w:val="auto"/>
          <w:szCs w:val="22"/>
        </w:rPr>
        <w:t>为</w:t>
      </w:r>
      <w:r>
        <w:rPr>
          <w:rFonts w:hint="eastAsia" w:cs="仿宋"/>
          <w:color w:val="auto"/>
          <w:szCs w:val="22"/>
        </w:rPr>
        <w:t>分析查询</w:t>
      </w:r>
      <w:r>
        <w:rPr>
          <w:rFonts w:ascii="仿宋" w:hAnsi="仿宋" w:cs="仿宋"/>
          <w:color w:val="auto"/>
          <w:szCs w:val="22"/>
        </w:rPr>
        <w:t>等高优先级应用配置</w:t>
      </w:r>
      <w:r>
        <w:rPr>
          <w:rFonts w:hint="eastAsia" w:cs="仿宋"/>
          <w:color w:val="auto"/>
          <w:szCs w:val="22"/>
        </w:rPr>
        <w:t>高资源</w:t>
      </w:r>
      <w:r>
        <w:rPr>
          <w:rFonts w:ascii="仿宋" w:hAnsi="仿宋" w:cs="仿宋"/>
          <w:color w:val="auto"/>
          <w:szCs w:val="22"/>
        </w:rPr>
        <w:t>队列，确保关键查询资源优先</w:t>
      </w:r>
    </w:p>
    <w:p w14:paraId="3D85564F">
      <w:pPr>
        <w:pStyle w:val="35"/>
        <w:widowControl/>
        <w:numPr>
          <w:ilvl w:val="0"/>
          <w:numId w:val="5"/>
        </w:numPr>
        <w:ind w:left="840" w:hanging="420"/>
        <w:contextualSpacing w:val="0"/>
        <w:rPr>
          <w:rFonts w:hint="eastAsia"/>
          <w:color w:val="auto"/>
        </w:rPr>
      </w:pPr>
      <w:r>
        <w:rPr>
          <w:rFonts w:ascii="仿宋" w:hAnsi="仿宋" w:cs="仿宋"/>
          <w:color w:val="auto"/>
          <w:szCs w:val="22"/>
        </w:rPr>
        <w:t>夜间批处理时间段（23:00-06:00），临时调整队列权重，为批处理作业释放更多资源</w:t>
      </w:r>
    </w:p>
    <w:p w14:paraId="3F4CDDD4">
      <w:pPr>
        <w:pStyle w:val="35"/>
        <w:widowControl/>
        <w:numPr>
          <w:ilvl w:val="0"/>
          <w:numId w:val="5"/>
        </w:numPr>
        <w:ind w:left="840" w:hanging="420"/>
        <w:contextualSpacing w:val="0"/>
        <w:rPr>
          <w:rFonts w:hint="eastAsia"/>
          <w:color w:val="auto"/>
        </w:rPr>
      </w:pPr>
      <w:r>
        <w:rPr>
          <w:rFonts w:ascii="仿宋" w:hAnsi="仿宋" w:cs="仿宋"/>
          <w:color w:val="auto"/>
          <w:szCs w:val="22"/>
        </w:rPr>
        <w:t>为应急管理租户配置弹性扩展规则，在重大应急事件期间自动扩大资源配额</w:t>
      </w:r>
    </w:p>
    <w:p w14:paraId="02E6F2A6">
      <w:pPr>
        <w:pStyle w:val="5"/>
        <w:rPr>
          <w:rFonts w:hint="eastAsia"/>
          <w:color w:val="auto"/>
        </w:rPr>
      </w:pPr>
      <w:r>
        <w:rPr>
          <w:color w:val="auto"/>
        </w:rPr>
        <w:t>数据迁移方案</w:t>
      </w:r>
    </w:p>
    <w:p w14:paraId="70F77B9B">
      <w:pPr>
        <w:pStyle w:val="6"/>
        <w:rPr>
          <w:rFonts w:hint="eastAsia"/>
          <w:color w:val="auto"/>
        </w:rPr>
      </w:pPr>
      <w:r>
        <w:rPr>
          <w:color w:val="auto"/>
        </w:rPr>
        <w:t>数据迁移总体策略</w:t>
      </w:r>
    </w:p>
    <w:p w14:paraId="614DD714">
      <w:pPr>
        <w:pStyle w:val="42"/>
        <w:jc w:val="both"/>
        <w:rPr>
          <w:rFonts w:hint="eastAsia"/>
          <w:color w:val="auto"/>
        </w:rPr>
      </w:pPr>
      <w:r>
        <w:rPr>
          <w:color w:val="auto"/>
          <w:szCs w:val="22"/>
        </w:rPr>
        <w:t>数据迁移采用历史全量 + 增量追赶 + 双写切换三阶段策略，确保迁移过程中数据完整性和一致性：</w:t>
      </w:r>
    </w:p>
    <w:p w14:paraId="02410F15">
      <w:pPr>
        <w:pStyle w:val="35"/>
        <w:widowControl/>
        <w:numPr>
          <w:ilvl w:val="0"/>
          <w:numId w:val="8"/>
        </w:numPr>
        <w:ind w:left="420" w:leftChars="175"/>
        <w:contextualSpacing w:val="0"/>
        <w:rPr>
          <w:rFonts w:hint="eastAsia"/>
          <w:color w:val="auto"/>
        </w:rPr>
      </w:pPr>
      <w:r>
        <w:rPr>
          <w:rFonts w:ascii="仿宋" w:hAnsi="仿宋" w:cs="仿宋"/>
          <w:color w:val="auto"/>
          <w:szCs w:val="22"/>
        </w:rPr>
        <w:t>历史全量迁移：通过DistCp工具将HDFS历史数据并行拷贝至新集群，利用带宽限速避免影响在线业务</w:t>
      </w:r>
    </w:p>
    <w:p w14:paraId="14EC52ED">
      <w:pPr>
        <w:pStyle w:val="35"/>
        <w:widowControl/>
        <w:numPr>
          <w:ilvl w:val="0"/>
          <w:numId w:val="8"/>
        </w:numPr>
        <w:ind w:left="840" w:hanging="420"/>
        <w:contextualSpacing w:val="0"/>
        <w:rPr>
          <w:rFonts w:hint="eastAsia"/>
          <w:color w:val="auto"/>
        </w:rPr>
      </w:pPr>
      <w:r>
        <w:rPr>
          <w:rFonts w:ascii="仿宋" w:hAnsi="仿宋" w:cs="仿宋"/>
          <w:color w:val="auto"/>
          <w:szCs w:val="22"/>
        </w:rPr>
        <w:t>增量追赶：全量迁移完成后，通过日志分析和数据对比，补充迁移期间的增量数据</w:t>
      </w:r>
    </w:p>
    <w:p w14:paraId="49360DB7">
      <w:pPr>
        <w:pStyle w:val="35"/>
        <w:widowControl/>
        <w:numPr>
          <w:ilvl w:val="0"/>
          <w:numId w:val="8"/>
        </w:numPr>
        <w:ind w:left="840" w:hanging="420"/>
        <w:contextualSpacing w:val="0"/>
        <w:rPr>
          <w:rFonts w:hint="eastAsia"/>
          <w:color w:val="auto"/>
        </w:rPr>
      </w:pPr>
      <w:r>
        <w:rPr>
          <w:rFonts w:ascii="仿宋" w:hAnsi="仿宋" w:cs="仿宋"/>
          <w:color w:val="auto"/>
          <w:szCs w:val="22"/>
        </w:rPr>
        <w:t>双写切换：在灰度切换期间，新数据同时写入新旧集群，确保两端数据最终一致</w:t>
      </w:r>
    </w:p>
    <w:p w14:paraId="39B8F821">
      <w:pPr>
        <w:pStyle w:val="6"/>
        <w:rPr>
          <w:rFonts w:hint="eastAsia"/>
          <w:color w:val="auto"/>
        </w:rPr>
      </w:pPr>
      <w:r>
        <w:rPr>
          <w:color w:val="auto"/>
        </w:rPr>
        <w:t>HDFS数据迁移</w:t>
      </w:r>
    </w:p>
    <w:p w14:paraId="0813CAE1">
      <w:pPr>
        <w:pStyle w:val="7"/>
        <w:rPr>
          <w:rFonts w:hint="eastAsia"/>
          <w:color w:val="auto"/>
        </w:rPr>
      </w:pPr>
      <w:r>
        <w:rPr>
          <w:color w:val="auto"/>
        </w:rPr>
        <w:t>迁移工具与配置</w:t>
      </w:r>
    </w:p>
    <w:p w14:paraId="7A5AD8C0">
      <w:pPr>
        <w:pStyle w:val="42"/>
        <w:jc w:val="both"/>
        <w:rPr>
          <w:rFonts w:hint="eastAsia"/>
          <w:color w:val="auto"/>
        </w:rPr>
      </w:pPr>
      <w:r>
        <w:rPr>
          <w:color w:val="auto"/>
          <w:szCs w:val="22"/>
        </w:rPr>
        <w:t>使用Hadoop DistCp（分布式拷贝）工具执行HDFS数据迁移，关键配置参数如下：</w:t>
      </w:r>
    </w:p>
    <w:p w14:paraId="0A3A34BD">
      <w:pPr>
        <w:pStyle w:val="35"/>
        <w:widowControl/>
        <w:numPr>
          <w:ilvl w:val="0"/>
          <w:numId w:val="5"/>
        </w:numPr>
        <w:ind w:left="840" w:hanging="420"/>
        <w:contextualSpacing w:val="0"/>
        <w:rPr>
          <w:rFonts w:hint="eastAsia"/>
          <w:color w:val="auto"/>
        </w:rPr>
      </w:pPr>
      <w:r>
        <w:rPr>
          <w:rFonts w:ascii="仿宋" w:hAnsi="仿宋" w:cs="仿宋"/>
          <w:color w:val="auto"/>
          <w:szCs w:val="22"/>
        </w:rPr>
        <w:t>并发Map任务数：根据网络带宽和集群负载动态调整（建议初始50个Map，峰值不超过100个）</w:t>
      </w:r>
    </w:p>
    <w:p w14:paraId="7605FB37">
      <w:pPr>
        <w:pStyle w:val="35"/>
        <w:widowControl/>
        <w:numPr>
          <w:ilvl w:val="0"/>
          <w:numId w:val="5"/>
        </w:numPr>
        <w:ind w:left="840" w:hanging="420"/>
        <w:contextualSpacing w:val="0"/>
        <w:rPr>
          <w:rFonts w:hint="eastAsia"/>
          <w:color w:val="auto"/>
        </w:rPr>
      </w:pPr>
      <w:r>
        <w:rPr>
          <w:rFonts w:ascii="仿宋" w:hAnsi="仿宋" w:cs="仿宋"/>
          <w:color w:val="auto"/>
          <w:szCs w:val="22"/>
        </w:rPr>
        <w:t>带宽限速：在业务高峰期（08:00-20:00）限速至100MB/s/task，夜间放开至500MB/s/task</w:t>
      </w:r>
    </w:p>
    <w:p w14:paraId="5E8374E6">
      <w:pPr>
        <w:pStyle w:val="35"/>
        <w:widowControl/>
        <w:numPr>
          <w:ilvl w:val="0"/>
          <w:numId w:val="5"/>
        </w:numPr>
        <w:ind w:left="840" w:hanging="420"/>
        <w:contextualSpacing w:val="0"/>
        <w:rPr>
          <w:rFonts w:hint="eastAsia"/>
          <w:color w:val="auto"/>
        </w:rPr>
      </w:pPr>
      <w:r>
        <w:rPr>
          <w:rFonts w:ascii="仿宋" w:hAnsi="仿宋" w:cs="仿宋"/>
          <w:color w:val="auto"/>
          <w:szCs w:val="22"/>
        </w:rPr>
        <w:t>校验模式：启用MD5校验，确保每个数据块传输完整性</w:t>
      </w:r>
    </w:p>
    <w:p w14:paraId="74288893">
      <w:pPr>
        <w:pStyle w:val="35"/>
        <w:widowControl/>
        <w:numPr>
          <w:ilvl w:val="0"/>
          <w:numId w:val="5"/>
        </w:numPr>
        <w:ind w:left="840" w:hanging="420"/>
        <w:contextualSpacing w:val="0"/>
        <w:rPr>
          <w:rFonts w:hint="eastAsia"/>
          <w:color w:val="auto"/>
        </w:rPr>
      </w:pPr>
      <w:r>
        <w:rPr>
          <w:rFonts w:ascii="仿宋" w:hAnsi="仿宋" w:cs="仿宋"/>
          <w:color w:val="auto"/>
          <w:szCs w:val="22"/>
        </w:rPr>
        <w:t>断点续传：DistCp支持-update参数，网络中断后可从中断点继续，避免重复传输</w:t>
      </w:r>
    </w:p>
    <w:p w14:paraId="520C5441">
      <w:pPr>
        <w:pStyle w:val="7"/>
        <w:rPr>
          <w:rFonts w:hint="eastAsia"/>
          <w:color w:val="auto"/>
        </w:rPr>
      </w:pPr>
      <w:r>
        <w:rPr>
          <w:color w:val="auto"/>
        </w:rPr>
        <w:t>迁移优先级</w:t>
      </w:r>
    </w:p>
    <w:p w14:paraId="3E092E56">
      <w:pPr>
        <w:pStyle w:val="42"/>
        <w:jc w:val="both"/>
        <w:rPr>
          <w:rFonts w:hint="eastAsia"/>
          <w:color w:val="auto"/>
        </w:rPr>
      </w:pPr>
      <w:r>
        <w:rPr>
          <w:color w:val="auto"/>
          <w:szCs w:val="22"/>
        </w:rPr>
        <w:t>按以下优先级顺序执行数据迁移：</w:t>
      </w:r>
    </w:p>
    <w:p w14:paraId="0143623A">
      <w:pPr>
        <w:pStyle w:val="35"/>
        <w:widowControl/>
        <w:numPr>
          <w:ilvl w:val="0"/>
          <w:numId w:val="9"/>
        </w:numPr>
        <w:ind w:left="420" w:leftChars="175"/>
        <w:contextualSpacing w:val="0"/>
        <w:rPr>
          <w:rFonts w:hint="eastAsia"/>
          <w:color w:val="auto"/>
        </w:rPr>
      </w:pPr>
      <w:r>
        <w:rPr>
          <w:rFonts w:ascii="仿宋" w:hAnsi="仿宋" w:cs="仿宋"/>
          <w:color w:val="auto"/>
          <w:szCs w:val="22"/>
        </w:rPr>
        <w:t>最近180天热数据（ArgoDB频繁访问，优先迁移）</w:t>
      </w:r>
    </w:p>
    <w:p w14:paraId="111BFB67">
      <w:pPr>
        <w:pStyle w:val="35"/>
        <w:widowControl/>
        <w:numPr>
          <w:ilvl w:val="0"/>
          <w:numId w:val="9"/>
        </w:numPr>
        <w:ind w:left="840" w:hanging="420"/>
        <w:contextualSpacing w:val="0"/>
        <w:rPr>
          <w:rFonts w:hint="eastAsia"/>
          <w:color w:val="auto"/>
        </w:rPr>
      </w:pPr>
      <w:r>
        <w:rPr>
          <w:rFonts w:ascii="仿宋" w:hAnsi="仿宋" w:cs="仿宋"/>
          <w:color w:val="auto"/>
          <w:szCs w:val="22"/>
        </w:rPr>
        <w:t>近2年温数据</w:t>
      </w:r>
    </w:p>
    <w:p w14:paraId="798857F6">
      <w:pPr>
        <w:pStyle w:val="35"/>
        <w:widowControl/>
        <w:numPr>
          <w:ilvl w:val="0"/>
          <w:numId w:val="9"/>
        </w:numPr>
        <w:ind w:left="840" w:hanging="420"/>
        <w:contextualSpacing w:val="0"/>
        <w:rPr>
          <w:rFonts w:hint="eastAsia"/>
          <w:color w:val="auto"/>
        </w:rPr>
      </w:pPr>
      <w:r>
        <w:rPr>
          <w:rFonts w:ascii="仿宋" w:hAnsi="仿宋" w:cs="仿宋"/>
          <w:color w:val="auto"/>
          <w:szCs w:val="22"/>
        </w:rPr>
        <w:t>2年以上历史归档数据（可在业务切换后后台缓慢迁移）</w:t>
      </w:r>
    </w:p>
    <w:p w14:paraId="7EA370E3">
      <w:pPr>
        <w:pStyle w:val="6"/>
        <w:rPr>
          <w:rFonts w:hint="eastAsia"/>
          <w:color w:val="auto"/>
        </w:rPr>
      </w:pPr>
      <w:r>
        <w:rPr>
          <w:color w:val="auto"/>
        </w:rPr>
        <w:t>HBase数据迁移</w:t>
      </w:r>
    </w:p>
    <w:p w14:paraId="5F2EA814">
      <w:pPr>
        <w:pStyle w:val="42"/>
        <w:jc w:val="both"/>
        <w:rPr>
          <w:rFonts w:hint="eastAsia"/>
          <w:color w:val="auto"/>
        </w:rPr>
      </w:pPr>
      <w:r>
        <w:rPr>
          <w:color w:val="auto"/>
          <w:szCs w:val="22"/>
        </w:rPr>
        <w:t>HBase数据采用Hyperbase replication机制实现实时同步，步骤如下：</w:t>
      </w:r>
    </w:p>
    <w:p w14:paraId="1BF2EB99">
      <w:pPr>
        <w:pStyle w:val="35"/>
        <w:widowControl/>
        <w:numPr>
          <w:ilvl w:val="0"/>
          <w:numId w:val="10"/>
        </w:numPr>
        <w:ind w:left="420" w:leftChars="175"/>
        <w:contextualSpacing w:val="0"/>
        <w:rPr>
          <w:rFonts w:hint="eastAsia"/>
          <w:color w:val="auto"/>
        </w:rPr>
      </w:pPr>
      <w:r>
        <w:rPr>
          <w:rFonts w:ascii="仿宋" w:hAnsi="仿宋" w:cs="仿宋"/>
          <w:color w:val="auto"/>
          <w:szCs w:val="22"/>
        </w:rPr>
        <w:t>在新集群创建与旧集群相同Schema的HBase表</w:t>
      </w:r>
    </w:p>
    <w:p w14:paraId="51450860">
      <w:pPr>
        <w:pStyle w:val="35"/>
        <w:widowControl/>
        <w:numPr>
          <w:ilvl w:val="0"/>
          <w:numId w:val="10"/>
        </w:numPr>
        <w:ind w:left="840" w:hanging="420"/>
        <w:contextualSpacing w:val="0"/>
        <w:rPr>
          <w:rFonts w:hint="eastAsia"/>
          <w:color w:val="auto"/>
        </w:rPr>
      </w:pPr>
      <w:r>
        <w:rPr>
          <w:rFonts w:ascii="仿宋" w:hAnsi="仿宋" w:cs="仿宋"/>
          <w:color w:val="auto"/>
          <w:szCs w:val="22"/>
        </w:rPr>
        <w:t>配置Hyperbase replication，将旧集群作为Source，新集群作为Sink</w:t>
      </w:r>
    </w:p>
    <w:p w14:paraId="605F22C4">
      <w:pPr>
        <w:pStyle w:val="35"/>
        <w:widowControl/>
        <w:numPr>
          <w:ilvl w:val="0"/>
          <w:numId w:val="10"/>
        </w:numPr>
        <w:ind w:left="840" w:hanging="420"/>
        <w:contextualSpacing w:val="0"/>
        <w:rPr>
          <w:rFonts w:hint="eastAsia"/>
          <w:color w:val="auto"/>
        </w:rPr>
      </w:pPr>
      <w:r>
        <w:rPr>
          <w:rFonts w:ascii="仿宋" w:hAnsi="仿宋" w:cs="仿宋"/>
          <w:color w:val="auto"/>
          <w:szCs w:val="22"/>
        </w:rPr>
        <w:t>启动全量Snapshot复制（Export/Import工具），建立数据基线</w:t>
      </w:r>
    </w:p>
    <w:p w14:paraId="3CC59584">
      <w:pPr>
        <w:pStyle w:val="35"/>
        <w:widowControl/>
        <w:numPr>
          <w:ilvl w:val="0"/>
          <w:numId w:val="10"/>
        </w:numPr>
        <w:ind w:left="840" w:hanging="420"/>
        <w:contextualSpacing w:val="0"/>
        <w:rPr>
          <w:rFonts w:hint="eastAsia"/>
          <w:color w:val="auto"/>
        </w:rPr>
      </w:pPr>
      <w:r>
        <w:rPr>
          <w:rFonts w:ascii="仿宋" w:hAnsi="仿宋" w:cs="仿宋"/>
          <w:color w:val="auto"/>
          <w:szCs w:val="22"/>
        </w:rPr>
        <w:t>Snapshot复制完成后，replication自动切换为增量同步模式，实时同步WAL日志</w:t>
      </w:r>
    </w:p>
    <w:p w14:paraId="0305BA67">
      <w:pPr>
        <w:pStyle w:val="35"/>
        <w:widowControl/>
        <w:numPr>
          <w:ilvl w:val="0"/>
          <w:numId w:val="10"/>
        </w:numPr>
        <w:ind w:left="840" w:hanging="420"/>
        <w:contextualSpacing w:val="0"/>
        <w:rPr>
          <w:rFonts w:hint="eastAsia"/>
          <w:color w:val="auto"/>
        </w:rPr>
      </w:pPr>
      <w:r>
        <w:rPr>
          <w:rFonts w:ascii="仿宋" w:hAnsi="仿宋" w:cs="仿宋"/>
          <w:color w:val="auto"/>
          <w:szCs w:val="22"/>
        </w:rPr>
        <w:t>监控replication延迟，确认延迟稳定&lt;5秒后，启动应用层切换</w:t>
      </w:r>
    </w:p>
    <w:p w14:paraId="0DCCC5E8">
      <w:pPr>
        <w:pStyle w:val="6"/>
        <w:rPr>
          <w:rFonts w:hint="eastAsia"/>
          <w:color w:val="auto"/>
        </w:rPr>
      </w:pPr>
      <w:r>
        <w:rPr>
          <w:color w:val="auto"/>
        </w:rPr>
        <w:t>元数据同步</w:t>
      </w:r>
    </w:p>
    <w:p w14:paraId="03D10983">
      <w:pPr>
        <w:pStyle w:val="42"/>
        <w:jc w:val="both"/>
        <w:rPr>
          <w:rFonts w:hint="eastAsia"/>
          <w:color w:val="auto"/>
        </w:rPr>
      </w:pPr>
      <w:r>
        <w:rPr>
          <w:color w:val="auto"/>
          <w:szCs w:val="22"/>
        </w:rPr>
        <w:t>Hive Metastore元数据同步是数据迁移的关键环节，确保新集群能够正确访问迁移后的数据：</w:t>
      </w:r>
    </w:p>
    <w:p w14:paraId="0566A1DD">
      <w:pPr>
        <w:pStyle w:val="35"/>
        <w:widowControl/>
        <w:numPr>
          <w:ilvl w:val="0"/>
          <w:numId w:val="5"/>
        </w:numPr>
        <w:ind w:left="840" w:hanging="420"/>
        <w:contextualSpacing w:val="0"/>
        <w:rPr>
          <w:rFonts w:hint="eastAsia"/>
          <w:color w:val="auto"/>
        </w:rPr>
      </w:pPr>
      <w:r>
        <w:rPr>
          <w:rFonts w:ascii="仿宋" w:hAnsi="仿宋" w:cs="仿宋"/>
          <w:color w:val="auto"/>
          <w:szCs w:val="22"/>
        </w:rPr>
        <w:t>使用Hive Schema Tool导出旧HMS元数据（DDL + 统计信息 + 分区信息）</w:t>
      </w:r>
    </w:p>
    <w:p w14:paraId="4D5C4266">
      <w:pPr>
        <w:pStyle w:val="35"/>
        <w:widowControl/>
        <w:numPr>
          <w:ilvl w:val="0"/>
          <w:numId w:val="5"/>
        </w:numPr>
        <w:ind w:left="840" w:hanging="420"/>
        <w:contextualSpacing w:val="0"/>
        <w:rPr>
          <w:rFonts w:hint="eastAsia"/>
          <w:color w:val="auto"/>
        </w:rPr>
      </w:pPr>
      <w:r>
        <w:rPr>
          <w:rFonts w:ascii="仿宋" w:hAnsi="仿宋" w:cs="仿宋"/>
          <w:color w:val="auto"/>
          <w:szCs w:val="22"/>
        </w:rPr>
        <w:t>在新HMS中执行导入，建立与旧集群完全一致的库/表/分区结构</w:t>
      </w:r>
    </w:p>
    <w:p w14:paraId="676C15D9">
      <w:pPr>
        <w:pStyle w:val="35"/>
        <w:widowControl/>
        <w:numPr>
          <w:ilvl w:val="0"/>
          <w:numId w:val="5"/>
        </w:numPr>
        <w:ind w:left="840" w:hanging="420"/>
        <w:contextualSpacing w:val="0"/>
        <w:rPr>
          <w:rFonts w:hint="eastAsia"/>
          <w:color w:val="auto"/>
        </w:rPr>
      </w:pPr>
      <w:r>
        <w:rPr>
          <w:rFonts w:ascii="仿宋" w:hAnsi="仿宋" w:cs="仿宋"/>
          <w:color w:val="auto"/>
          <w:szCs w:val="22"/>
        </w:rPr>
        <w:t>在双集群并行期间，建立HMS元数据变更监听机制：在旧集群执行的DDL操作（建表、加分区、删分区等）自动同步至新集群HMS</w:t>
      </w:r>
    </w:p>
    <w:p w14:paraId="388F1B05">
      <w:pPr>
        <w:pStyle w:val="35"/>
        <w:widowControl/>
        <w:numPr>
          <w:ilvl w:val="0"/>
          <w:numId w:val="5"/>
        </w:numPr>
        <w:ind w:left="840" w:hanging="420"/>
        <w:contextualSpacing w:val="0"/>
        <w:rPr>
          <w:rFonts w:hint="eastAsia"/>
          <w:color w:val="auto"/>
        </w:rPr>
      </w:pPr>
      <w:r>
        <w:rPr>
          <w:rFonts w:ascii="仿宋" w:hAnsi="仿宋" w:cs="仿宋"/>
          <w:color w:val="auto"/>
          <w:szCs w:val="22"/>
        </w:rPr>
        <w:t>数据迁移完成后，通过MSCK REPAIR TABLE修复分区元数据，确保新集群能够正确扫描所有数据</w:t>
      </w:r>
    </w:p>
    <w:p w14:paraId="650C6BF3">
      <w:pPr>
        <w:pStyle w:val="6"/>
        <w:rPr>
          <w:rFonts w:hint="eastAsia"/>
          <w:color w:val="auto"/>
        </w:rPr>
      </w:pPr>
      <w:r>
        <w:rPr>
          <w:color w:val="auto"/>
        </w:rPr>
        <w:t>数据一致性校验</w:t>
      </w:r>
    </w:p>
    <w:p w14:paraId="28964104">
      <w:pPr>
        <w:pStyle w:val="42"/>
        <w:jc w:val="both"/>
        <w:rPr>
          <w:rFonts w:hint="eastAsia"/>
          <w:color w:val="auto"/>
        </w:rPr>
      </w:pPr>
      <w:r>
        <w:rPr>
          <w:color w:val="auto"/>
          <w:szCs w:val="22"/>
        </w:rPr>
        <w:t>数据迁移完成后，须通过以下多维度校验确认数据一致性：</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0"/>
        <w:gridCol w:w="2229"/>
        <w:gridCol w:w="2066"/>
        <w:gridCol w:w="2587"/>
      </w:tblGrid>
      <w:tr w14:paraId="05EAC774">
        <w:tc>
          <w:tcPr>
            <w:tcW w:w="962" w:type="pct"/>
          </w:tcPr>
          <w:p w14:paraId="2748F3F9">
            <w:pPr>
              <w:pStyle w:val="43"/>
              <w:jc w:val="center"/>
              <w:rPr>
                <w:rFonts w:ascii="仿宋" w:hAnsi="仿宋" w:eastAsia="仿宋"/>
                <w:b/>
                <w:color w:val="auto"/>
                <w:sz w:val="24"/>
              </w:rPr>
            </w:pPr>
            <w:r>
              <w:rPr>
                <w:rFonts w:ascii="仿宋" w:hAnsi="仿宋" w:eastAsia="仿宋"/>
                <w:b/>
                <w:color w:val="auto"/>
                <w:sz w:val="24"/>
              </w:rPr>
              <w:t>校验维度</w:t>
            </w:r>
          </w:p>
        </w:tc>
        <w:tc>
          <w:tcPr>
            <w:tcW w:w="1308" w:type="pct"/>
          </w:tcPr>
          <w:p w14:paraId="34C44FCE">
            <w:pPr>
              <w:pStyle w:val="43"/>
              <w:jc w:val="center"/>
              <w:rPr>
                <w:rFonts w:ascii="仿宋" w:hAnsi="仿宋" w:eastAsia="仿宋"/>
                <w:b/>
                <w:color w:val="auto"/>
                <w:sz w:val="24"/>
              </w:rPr>
            </w:pPr>
            <w:r>
              <w:rPr>
                <w:rFonts w:ascii="仿宋" w:hAnsi="仿宋" w:eastAsia="仿宋"/>
                <w:b/>
                <w:color w:val="auto"/>
                <w:sz w:val="24"/>
              </w:rPr>
              <w:t>校验方法</w:t>
            </w:r>
          </w:p>
        </w:tc>
        <w:tc>
          <w:tcPr>
            <w:tcW w:w="1212" w:type="pct"/>
          </w:tcPr>
          <w:p w14:paraId="6A365C16">
            <w:pPr>
              <w:pStyle w:val="43"/>
              <w:jc w:val="center"/>
              <w:rPr>
                <w:rFonts w:ascii="仿宋" w:hAnsi="仿宋" w:eastAsia="仿宋"/>
                <w:b/>
                <w:color w:val="auto"/>
                <w:sz w:val="24"/>
              </w:rPr>
            </w:pPr>
            <w:r>
              <w:rPr>
                <w:rFonts w:ascii="仿宋" w:hAnsi="仿宋" w:eastAsia="仿宋"/>
                <w:b/>
                <w:color w:val="auto"/>
                <w:sz w:val="24"/>
              </w:rPr>
              <w:t>校验工具</w:t>
            </w:r>
          </w:p>
        </w:tc>
        <w:tc>
          <w:tcPr>
            <w:tcW w:w="1519" w:type="pct"/>
          </w:tcPr>
          <w:p w14:paraId="4277B86B">
            <w:pPr>
              <w:pStyle w:val="43"/>
              <w:jc w:val="center"/>
              <w:rPr>
                <w:rFonts w:ascii="仿宋" w:hAnsi="仿宋" w:eastAsia="仿宋"/>
                <w:b/>
                <w:color w:val="auto"/>
                <w:sz w:val="24"/>
              </w:rPr>
            </w:pPr>
            <w:r>
              <w:rPr>
                <w:rFonts w:ascii="仿宋" w:hAnsi="仿宋" w:eastAsia="仿宋"/>
                <w:b/>
                <w:color w:val="auto"/>
                <w:sz w:val="24"/>
              </w:rPr>
              <w:t>通过标准</w:t>
            </w:r>
          </w:p>
        </w:tc>
      </w:tr>
      <w:tr w14:paraId="6A64E5AA">
        <w:tc>
          <w:tcPr>
            <w:tcW w:w="962" w:type="pct"/>
          </w:tcPr>
          <w:p w14:paraId="1AF253CE">
            <w:pPr>
              <w:pStyle w:val="43"/>
              <w:rPr>
                <w:rFonts w:ascii="仿宋" w:hAnsi="仿宋" w:eastAsia="仿宋"/>
                <w:color w:val="auto"/>
                <w:sz w:val="24"/>
              </w:rPr>
            </w:pPr>
            <w:r>
              <w:rPr>
                <w:rFonts w:ascii="仿宋" w:hAnsi="仿宋" w:eastAsia="仿宋"/>
                <w:color w:val="auto"/>
                <w:sz w:val="24"/>
              </w:rPr>
              <w:t>行数对比</w:t>
            </w:r>
          </w:p>
        </w:tc>
        <w:tc>
          <w:tcPr>
            <w:tcW w:w="1308" w:type="pct"/>
          </w:tcPr>
          <w:p w14:paraId="5D85D52F">
            <w:pPr>
              <w:pStyle w:val="43"/>
              <w:rPr>
                <w:rFonts w:ascii="仿宋" w:hAnsi="仿宋" w:eastAsia="仿宋"/>
                <w:color w:val="auto"/>
                <w:sz w:val="24"/>
              </w:rPr>
            </w:pPr>
            <w:r>
              <w:rPr>
                <w:rFonts w:ascii="仿宋" w:hAnsi="仿宋" w:eastAsia="仿宋"/>
                <w:color w:val="auto"/>
                <w:sz w:val="24"/>
              </w:rPr>
              <w:t>SELECT COUNT(*) FROM each table</w:t>
            </w:r>
          </w:p>
        </w:tc>
        <w:tc>
          <w:tcPr>
            <w:tcW w:w="1212" w:type="pct"/>
          </w:tcPr>
          <w:p w14:paraId="7250539F">
            <w:pPr>
              <w:pStyle w:val="43"/>
              <w:rPr>
                <w:rFonts w:ascii="仿宋" w:hAnsi="仿宋" w:eastAsia="仿宋"/>
                <w:color w:val="auto"/>
                <w:sz w:val="24"/>
              </w:rPr>
            </w:pPr>
            <w:r>
              <w:rPr>
                <w:rFonts w:ascii="仿宋" w:hAnsi="仿宋" w:eastAsia="仿宋"/>
                <w:color w:val="auto"/>
                <w:sz w:val="24"/>
              </w:rPr>
              <w:t>自动化SQL脚本</w:t>
            </w:r>
          </w:p>
        </w:tc>
        <w:tc>
          <w:tcPr>
            <w:tcW w:w="1519" w:type="pct"/>
          </w:tcPr>
          <w:p w14:paraId="0EA4FC04">
            <w:pPr>
              <w:pStyle w:val="43"/>
              <w:rPr>
                <w:rFonts w:ascii="仿宋" w:hAnsi="仿宋" w:eastAsia="仿宋"/>
                <w:color w:val="auto"/>
                <w:sz w:val="24"/>
              </w:rPr>
            </w:pPr>
            <w:r>
              <w:rPr>
                <w:rFonts w:ascii="仿宋" w:hAnsi="仿宋" w:eastAsia="仿宋"/>
                <w:color w:val="auto"/>
                <w:sz w:val="24"/>
              </w:rPr>
              <w:t>新旧集群行数完全一致</w:t>
            </w:r>
          </w:p>
        </w:tc>
      </w:tr>
      <w:tr w14:paraId="5FB3FF6F">
        <w:tc>
          <w:tcPr>
            <w:tcW w:w="962" w:type="pct"/>
          </w:tcPr>
          <w:p w14:paraId="3BCB9E26">
            <w:pPr>
              <w:pStyle w:val="43"/>
              <w:rPr>
                <w:rFonts w:ascii="仿宋" w:hAnsi="仿宋" w:eastAsia="仿宋"/>
                <w:color w:val="auto"/>
                <w:sz w:val="24"/>
              </w:rPr>
            </w:pPr>
            <w:r>
              <w:rPr>
                <w:rFonts w:ascii="仿宋" w:hAnsi="仿宋" w:eastAsia="仿宋"/>
                <w:color w:val="auto"/>
                <w:sz w:val="24"/>
              </w:rPr>
              <w:t>关键字段值域</w:t>
            </w:r>
          </w:p>
        </w:tc>
        <w:tc>
          <w:tcPr>
            <w:tcW w:w="1308" w:type="pct"/>
          </w:tcPr>
          <w:p w14:paraId="0D7EE728">
            <w:pPr>
              <w:pStyle w:val="43"/>
              <w:rPr>
                <w:rFonts w:ascii="仿宋" w:hAnsi="仿宋" w:eastAsia="仿宋"/>
                <w:color w:val="auto"/>
                <w:sz w:val="24"/>
              </w:rPr>
            </w:pPr>
            <w:r>
              <w:rPr>
                <w:rFonts w:ascii="仿宋" w:hAnsi="仿宋" w:eastAsia="仿宋"/>
                <w:color w:val="auto"/>
                <w:sz w:val="24"/>
              </w:rPr>
              <w:t>MAX/MIN/SUM对比</w:t>
            </w:r>
          </w:p>
        </w:tc>
        <w:tc>
          <w:tcPr>
            <w:tcW w:w="1212" w:type="pct"/>
          </w:tcPr>
          <w:p w14:paraId="5876AAB8">
            <w:pPr>
              <w:pStyle w:val="43"/>
              <w:rPr>
                <w:rFonts w:ascii="仿宋" w:hAnsi="仿宋" w:eastAsia="仿宋"/>
                <w:color w:val="auto"/>
                <w:sz w:val="24"/>
              </w:rPr>
            </w:pPr>
            <w:r>
              <w:rPr>
                <w:rFonts w:ascii="仿宋" w:hAnsi="仿宋" w:eastAsia="仿宋"/>
                <w:color w:val="auto"/>
                <w:sz w:val="24"/>
              </w:rPr>
              <w:t>自动化SQL脚本</w:t>
            </w:r>
          </w:p>
        </w:tc>
        <w:tc>
          <w:tcPr>
            <w:tcW w:w="1519" w:type="pct"/>
          </w:tcPr>
          <w:p w14:paraId="5B802FBB">
            <w:pPr>
              <w:pStyle w:val="43"/>
              <w:rPr>
                <w:rFonts w:ascii="仿宋" w:hAnsi="仿宋" w:eastAsia="仿宋"/>
                <w:color w:val="auto"/>
                <w:sz w:val="24"/>
              </w:rPr>
            </w:pPr>
            <w:r>
              <w:rPr>
                <w:rFonts w:ascii="仿宋" w:hAnsi="仿宋" w:eastAsia="仿宋"/>
                <w:color w:val="auto"/>
                <w:sz w:val="24"/>
              </w:rPr>
              <w:t>偏差&lt;0.001%</w:t>
            </w:r>
          </w:p>
        </w:tc>
      </w:tr>
      <w:tr w14:paraId="31534980">
        <w:tc>
          <w:tcPr>
            <w:tcW w:w="962" w:type="pct"/>
          </w:tcPr>
          <w:p w14:paraId="175B31C0">
            <w:pPr>
              <w:pStyle w:val="43"/>
              <w:rPr>
                <w:rFonts w:ascii="仿宋" w:hAnsi="仿宋" w:eastAsia="仿宋"/>
                <w:color w:val="auto"/>
                <w:sz w:val="24"/>
              </w:rPr>
            </w:pPr>
            <w:r>
              <w:rPr>
                <w:rFonts w:ascii="仿宋" w:hAnsi="仿宋" w:eastAsia="仿宋"/>
                <w:color w:val="auto"/>
                <w:sz w:val="24"/>
              </w:rPr>
              <w:t>抽样记录对比</w:t>
            </w:r>
          </w:p>
        </w:tc>
        <w:tc>
          <w:tcPr>
            <w:tcW w:w="1308" w:type="pct"/>
          </w:tcPr>
          <w:p w14:paraId="20903FDC">
            <w:pPr>
              <w:pStyle w:val="43"/>
              <w:rPr>
                <w:rFonts w:ascii="仿宋" w:hAnsi="仿宋" w:eastAsia="仿宋"/>
                <w:color w:val="auto"/>
                <w:sz w:val="24"/>
              </w:rPr>
            </w:pPr>
            <w:r>
              <w:rPr>
                <w:rFonts w:ascii="仿宋" w:hAnsi="仿宋" w:eastAsia="仿宋"/>
                <w:color w:val="auto"/>
                <w:sz w:val="24"/>
              </w:rPr>
              <w:t>随机抽取1%记录逐行比对</w:t>
            </w:r>
          </w:p>
        </w:tc>
        <w:tc>
          <w:tcPr>
            <w:tcW w:w="1212" w:type="pct"/>
          </w:tcPr>
          <w:p w14:paraId="58EE9BBC">
            <w:pPr>
              <w:pStyle w:val="43"/>
              <w:rPr>
                <w:rFonts w:ascii="仿宋" w:hAnsi="仿宋" w:eastAsia="仿宋"/>
                <w:color w:val="auto"/>
                <w:sz w:val="24"/>
              </w:rPr>
            </w:pPr>
            <w:r>
              <w:rPr>
                <w:rFonts w:hint="eastAsia" w:ascii="仿宋" w:hAnsi="仿宋" w:eastAsia="仿宋"/>
                <w:color w:val="auto"/>
                <w:sz w:val="24"/>
              </w:rPr>
              <w:t>Inceptor</w:t>
            </w:r>
            <w:r>
              <w:rPr>
                <w:rFonts w:ascii="仿宋" w:hAnsi="仿宋" w:eastAsia="仿宋"/>
                <w:color w:val="auto"/>
                <w:sz w:val="24"/>
              </w:rPr>
              <w:t>SQL比对作业</w:t>
            </w:r>
          </w:p>
        </w:tc>
        <w:tc>
          <w:tcPr>
            <w:tcW w:w="1519" w:type="pct"/>
          </w:tcPr>
          <w:p w14:paraId="54D959B5">
            <w:pPr>
              <w:pStyle w:val="43"/>
              <w:rPr>
                <w:rFonts w:ascii="仿宋" w:hAnsi="仿宋" w:eastAsia="仿宋"/>
                <w:color w:val="auto"/>
                <w:sz w:val="24"/>
              </w:rPr>
            </w:pPr>
            <w:r>
              <w:rPr>
                <w:rFonts w:ascii="仿宋" w:hAnsi="仿宋" w:eastAsia="仿宋"/>
                <w:color w:val="auto"/>
                <w:sz w:val="24"/>
              </w:rPr>
              <w:t>无差异记录</w:t>
            </w:r>
          </w:p>
        </w:tc>
      </w:tr>
      <w:tr w14:paraId="7D599215">
        <w:tc>
          <w:tcPr>
            <w:tcW w:w="962" w:type="pct"/>
          </w:tcPr>
          <w:p w14:paraId="633777AF">
            <w:pPr>
              <w:pStyle w:val="43"/>
              <w:rPr>
                <w:rFonts w:ascii="仿宋" w:hAnsi="仿宋" w:eastAsia="仿宋"/>
                <w:color w:val="auto"/>
                <w:sz w:val="24"/>
              </w:rPr>
            </w:pPr>
            <w:r>
              <w:rPr>
                <w:rFonts w:ascii="仿宋" w:hAnsi="仿宋" w:eastAsia="仿宋"/>
                <w:color w:val="auto"/>
                <w:sz w:val="24"/>
              </w:rPr>
              <w:t>分区完整性</w:t>
            </w:r>
          </w:p>
        </w:tc>
        <w:tc>
          <w:tcPr>
            <w:tcW w:w="1308" w:type="pct"/>
          </w:tcPr>
          <w:p w14:paraId="61F759A7">
            <w:pPr>
              <w:pStyle w:val="43"/>
              <w:rPr>
                <w:rFonts w:ascii="仿宋" w:hAnsi="仿宋" w:eastAsia="仿宋"/>
                <w:color w:val="auto"/>
                <w:sz w:val="24"/>
              </w:rPr>
            </w:pPr>
            <w:r>
              <w:rPr>
                <w:rFonts w:ascii="仿宋" w:hAnsi="仿宋" w:eastAsia="仿宋"/>
                <w:color w:val="auto"/>
                <w:sz w:val="24"/>
              </w:rPr>
              <w:t>分区列表对比</w:t>
            </w:r>
          </w:p>
        </w:tc>
        <w:tc>
          <w:tcPr>
            <w:tcW w:w="1212" w:type="pct"/>
          </w:tcPr>
          <w:p w14:paraId="693736C7">
            <w:pPr>
              <w:pStyle w:val="43"/>
              <w:rPr>
                <w:rFonts w:ascii="仿宋" w:hAnsi="仿宋" w:eastAsia="仿宋"/>
                <w:color w:val="auto"/>
                <w:sz w:val="24"/>
              </w:rPr>
            </w:pPr>
            <w:r>
              <w:rPr>
                <w:rFonts w:ascii="仿宋" w:hAnsi="仿宋" w:eastAsia="仿宋"/>
                <w:color w:val="auto"/>
                <w:sz w:val="24"/>
              </w:rPr>
              <w:t>HMS工具</w:t>
            </w:r>
          </w:p>
        </w:tc>
        <w:tc>
          <w:tcPr>
            <w:tcW w:w="1519" w:type="pct"/>
          </w:tcPr>
          <w:p w14:paraId="063D6BB4">
            <w:pPr>
              <w:pStyle w:val="43"/>
              <w:rPr>
                <w:rFonts w:ascii="仿宋" w:hAnsi="仿宋" w:eastAsia="仿宋"/>
                <w:color w:val="auto"/>
                <w:sz w:val="24"/>
              </w:rPr>
            </w:pPr>
            <w:r>
              <w:rPr>
                <w:rFonts w:ascii="仿宋" w:hAnsi="仿宋" w:eastAsia="仿宋"/>
                <w:color w:val="auto"/>
                <w:sz w:val="24"/>
              </w:rPr>
              <w:t>分区数完全一致</w:t>
            </w:r>
          </w:p>
        </w:tc>
      </w:tr>
      <w:tr w14:paraId="0597E4DC">
        <w:tc>
          <w:tcPr>
            <w:tcW w:w="962" w:type="pct"/>
          </w:tcPr>
          <w:p w14:paraId="70462A95">
            <w:pPr>
              <w:pStyle w:val="43"/>
              <w:rPr>
                <w:rFonts w:ascii="仿宋" w:hAnsi="仿宋" w:eastAsia="仿宋"/>
                <w:color w:val="auto"/>
                <w:sz w:val="24"/>
              </w:rPr>
            </w:pPr>
            <w:r>
              <w:rPr>
                <w:rFonts w:ascii="仿宋" w:hAnsi="仿宋" w:eastAsia="仿宋"/>
                <w:color w:val="auto"/>
                <w:sz w:val="24"/>
              </w:rPr>
              <w:t>HBase记录校验</w:t>
            </w:r>
          </w:p>
        </w:tc>
        <w:tc>
          <w:tcPr>
            <w:tcW w:w="1308" w:type="pct"/>
          </w:tcPr>
          <w:p w14:paraId="4EDC992E">
            <w:pPr>
              <w:pStyle w:val="43"/>
              <w:rPr>
                <w:rFonts w:ascii="仿宋" w:hAnsi="仿宋" w:eastAsia="仿宋"/>
                <w:color w:val="auto"/>
                <w:sz w:val="24"/>
              </w:rPr>
            </w:pPr>
            <w:r>
              <w:rPr>
                <w:rFonts w:ascii="仿宋" w:hAnsi="仿宋" w:eastAsia="仿宋"/>
                <w:color w:val="auto"/>
                <w:sz w:val="24"/>
              </w:rPr>
              <w:t>行键随机抽样</w:t>
            </w:r>
          </w:p>
        </w:tc>
        <w:tc>
          <w:tcPr>
            <w:tcW w:w="1212" w:type="pct"/>
          </w:tcPr>
          <w:p w14:paraId="7FED47B5">
            <w:pPr>
              <w:pStyle w:val="43"/>
              <w:rPr>
                <w:rFonts w:ascii="仿宋" w:hAnsi="仿宋" w:eastAsia="仿宋"/>
                <w:color w:val="auto"/>
                <w:sz w:val="24"/>
              </w:rPr>
            </w:pPr>
            <w:r>
              <w:rPr>
                <w:rFonts w:ascii="仿宋" w:hAnsi="仿宋" w:eastAsia="仿宋"/>
                <w:color w:val="auto"/>
                <w:sz w:val="24"/>
              </w:rPr>
              <w:t>自定义MapReduce</w:t>
            </w:r>
          </w:p>
        </w:tc>
        <w:tc>
          <w:tcPr>
            <w:tcW w:w="1519" w:type="pct"/>
          </w:tcPr>
          <w:p w14:paraId="4CE4EE54">
            <w:pPr>
              <w:pStyle w:val="43"/>
              <w:rPr>
                <w:rFonts w:ascii="仿宋" w:hAnsi="仿宋" w:eastAsia="仿宋"/>
                <w:color w:val="auto"/>
                <w:sz w:val="24"/>
              </w:rPr>
            </w:pPr>
            <w:r>
              <w:rPr>
                <w:rFonts w:ascii="仿宋" w:hAnsi="仿宋" w:eastAsia="仿宋"/>
                <w:color w:val="auto"/>
                <w:sz w:val="24"/>
              </w:rPr>
              <w:t>CF/Cell值完全一致</w:t>
            </w:r>
          </w:p>
        </w:tc>
      </w:tr>
    </w:tbl>
    <w:p w14:paraId="2F338551">
      <w:pPr>
        <w:spacing w:before="80" w:after="80"/>
        <w:rPr>
          <w:rFonts w:hint="eastAsia"/>
          <w:color w:val="auto"/>
        </w:rPr>
      </w:pPr>
    </w:p>
    <w:p w14:paraId="668E5382">
      <w:pPr>
        <w:pStyle w:val="5"/>
        <w:rPr>
          <w:rFonts w:hint="eastAsia"/>
          <w:color w:val="auto"/>
        </w:rPr>
      </w:pPr>
      <w:r>
        <w:rPr>
          <w:color w:val="auto"/>
        </w:rPr>
        <w:t>业务迁移方案</w:t>
      </w:r>
    </w:p>
    <w:p w14:paraId="7D268F52">
      <w:pPr>
        <w:pStyle w:val="6"/>
        <w:rPr>
          <w:rFonts w:hint="eastAsia"/>
          <w:color w:val="auto"/>
        </w:rPr>
      </w:pPr>
      <w:r>
        <w:rPr>
          <w:color w:val="auto"/>
        </w:rPr>
        <w:t>Inceptor作业迁移</w:t>
      </w:r>
    </w:p>
    <w:p w14:paraId="4B55289C">
      <w:pPr>
        <w:pStyle w:val="42"/>
        <w:jc w:val="both"/>
        <w:rPr>
          <w:rFonts w:hint="eastAsia"/>
          <w:color w:val="auto"/>
        </w:rPr>
      </w:pPr>
      <w:r>
        <w:rPr>
          <w:rFonts w:hint="eastAsia"/>
          <w:color w:val="auto"/>
          <w:szCs w:val="22"/>
        </w:rPr>
        <w:t>Inceptor</w:t>
      </w:r>
      <w:r>
        <w:rPr>
          <w:color w:val="auto"/>
          <w:szCs w:val="22"/>
        </w:rPr>
        <w:t>作业迁移遵循以下步骤：</w:t>
      </w:r>
    </w:p>
    <w:p w14:paraId="1D03D133">
      <w:pPr>
        <w:pStyle w:val="35"/>
        <w:widowControl/>
        <w:numPr>
          <w:ilvl w:val="0"/>
          <w:numId w:val="11"/>
        </w:numPr>
        <w:ind w:left="420" w:leftChars="175"/>
        <w:contextualSpacing w:val="0"/>
        <w:rPr>
          <w:rFonts w:hint="eastAsia"/>
          <w:color w:val="auto"/>
        </w:rPr>
      </w:pPr>
      <w:r>
        <w:rPr>
          <w:rFonts w:ascii="仿宋" w:hAnsi="仿宋" w:cs="仿宋"/>
          <w:color w:val="auto"/>
          <w:szCs w:val="22"/>
        </w:rPr>
        <w:t>梳理所有</w:t>
      </w:r>
      <w:r>
        <w:rPr>
          <w:rFonts w:hint="eastAsia" w:cs="仿宋"/>
          <w:color w:val="auto"/>
          <w:szCs w:val="22"/>
        </w:rPr>
        <w:t>Inceptor</w:t>
      </w:r>
      <w:r>
        <w:rPr>
          <w:rFonts w:ascii="仿宋" w:hAnsi="仿宋" w:cs="仿宋"/>
          <w:color w:val="auto"/>
          <w:szCs w:val="22"/>
        </w:rPr>
        <w:t>作业清单，按业务重要性和技术复杂度分级</w:t>
      </w:r>
    </w:p>
    <w:p w14:paraId="367D53EA">
      <w:pPr>
        <w:pStyle w:val="35"/>
        <w:widowControl/>
        <w:numPr>
          <w:ilvl w:val="0"/>
          <w:numId w:val="11"/>
        </w:numPr>
        <w:ind w:left="840" w:hanging="420"/>
        <w:contextualSpacing w:val="0"/>
        <w:rPr>
          <w:rFonts w:hint="eastAsia"/>
          <w:color w:val="auto"/>
        </w:rPr>
      </w:pPr>
      <w:r>
        <w:rPr>
          <w:rFonts w:ascii="仿宋" w:hAnsi="仿宋" w:cs="仿宋"/>
          <w:color w:val="auto"/>
          <w:szCs w:val="22"/>
        </w:rPr>
        <w:t>在新集群测试环境验证</w:t>
      </w:r>
      <w:r>
        <w:rPr>
          <w:rFonts w:hint="eastAsia" w:cs="仿宋"/>
          <w:color w:val="auto"/>
          <w:szCs w:val="22"/>
        </w:rPr>
        <w:t>Inceptor</w:t>
      </w:r>
      <w:r>
        <w:rPr>
          <w:rFonts w:ascii="仿宋" w:hAnsi="仿宋" w:cs="仿宋"/>
          <w:color w:val="auto"/>
          <w:szCs w:val="22"/>
        </w:rPr>
        <w:t>兼容性</w:t>
      </w:r>
    </w:p>
    <w:p w14:paraId="01090F4E">
      <w:pPr>
        <w:pStyle w:val="35"/>
        <w:widowControl/>
        <w:numPr>
          <w:ilvl w:val="0"/>
          <w:numId w:val="11"/>
        </w:numPr>
        <w:ind w:left="840" w:hanging="420"/>
        <w:contextualSpacing w:val="0"/>
        <w:rPr>
          <w:rFonts w:hint="eastAsia"/>
          <w:color w:val="auto"/>
        </w:rPr>
      </w:pPr>
      <w:r>
        <w:rPr>
          <w:rFonts w:ascii="仿宋" w:hAnsi="仿宋" w:cs="仿宋"/>
          <w:color w:val="auto"/>
          <w:szCs w:val="22"/>
        </w:rPr>
        <w:t>对使用Inceptor特有UDF的</w:t>
      </w:r>
      <w:r>
        <w:rPr>
          <w:rFonts w:hint="eastAsia" w:cs="仿宋"/>
          <w:color w:val="auto"/>
          <w:szCs w:val="22"/>
        </w:rPr>
        <w:t>Inceptor</w:t>
      </w:r>
      <w:r>
        <w:rPr>
          <w:rFonts w:ascii="仿宋" w:hAnsi="仿宋" w:cs="仿宋"/>
          <w:color w:val="auto"/>
          <w:szCs w:val="22"/>
        </w:rPr>
        <w:t>作业，重写为ArgoDB兼容的标准UDF</w:t>
      </w:r>
    </w:p>
    <w:p w14:paraId="539CC7E6">
      <w:pPr>
        <w:pStyle w:val="35"/>
        <w:widowControl/>
        <w:numPr>
          <w:ilvl w:val="0"/>
          <w:numId w:val="11"/>
        </w:numPr>
        <w:ind w:left="840" w:hanging="420"/>
        <w:contextualSpacing w:val="0"/>
        <w:rPr>
          <w:rFonts w:hint="eastAsia"/>
          <w:color w:val="auto"/>
        </w:rPr>
      </w:pPr>
      <w:r>
        <w:rPr>
          <w:rFonts w:ascii="仿宋" w:hAnsi="仿宋" w:cs="仿宋"/>
          <w:color w:val="auto"/>
          <w:szCs w:val="22"/>
        </w:rPr>
        <w:t>在新集群比对输出结果与旧集群一致性</w:t>
      </w:r>
    </w:p>
    <w:p w14:paraId="40ADB4F9">
      <w:pPr>
        <w:pStyle w:val="35"/>
        <w:widowControl/>
        <w:numPr>
          <w:ilvl w:val="0"/>
          <w:numId w:val="11"/>
        </w:numPr>
        <w:ind w:left="840" w:hanging="420"/>
        <w:contextualSpacing w:val="0"/>
        <w:rPr>
          <w:rFonts w:hint="eastAsia"/>
          <w:color w:val="auto"/>
        </w:rPr>
      </w:pPr>
      <w:r>
        <w:rPr>
          <w:rFonts w:ascii="仿宋" w:hAnsi="仿宋" w:cs="仿宋"/>
          <w:color w:val="auto"/>
          <w:szCs w:val="22"/>
        </w:rPr>
        <w:t>逐批次将</w:t>
      </w:r>
      <w:r>
        <w:rPr>
          <w:rFonts w:hint="eastAsia" w:cs="仿宋"/>
          <w:color w:val="auto"/>
          <w:szCs w:val="22"/>
        </w:rPr>
        <w:t>Inceptor</w:t>
      </w:r>
      <w:r>
        <w:rPr>
          <w:rFonts w:ascii="仿宋" w:hAnsi="仿宋" w:cs="仿宋"/>
          <w:color w:val="auto"/>
          <w:szCs w:val="22"/>
        </w:rPr>
        <w:t>作业调度切换至新集群，先切换非核心批处理作业，最后切换核心夜间批处理</w:t>
      </w:r>
    </w:p>
    <w:p w14:paraId="63048168">
      <w:pPr>
        <w:pStyle w:val="6"/>
        <w:rPr>
          <w:rFonts w:hint="eastAsia"/>
          <w:color w:val="auto"/>
        </w:rPr>
      </w:pPr>
      <w:r>
        <w:rPr>
          <w:color w:val="auto"/>
        </w:rPr>
        <w:t>Slipstream作业迁移</w:t>
      </w:r>
    </w:p>
    <w:p w14:paraId="3EE56187">
      <w:pPr>
        <w:pStyle w:val="42"/>
        <w:jc w:val="both"/>
        <w:rPr>
          <w:rFonts w:hint="eastAsia"/>
          <w:color w:val="auto"/>
        </w:rPr>
      </w:pPr>
      <w:r>
        <w:rPr>
          <w:rFonts w:hint="eastAsia"/>
          <w:color w:val="auto"/>
          <w:szCs w:val="22"/>
        </w:rPr>
        <w:t>Slipstream</w:t>
      </w:r>
      <w:r>
        <w:rPr>
          <w:color w:val="auto"/>
          <w:szCs w:val="22"/>
        </w:rPr>
        <w:t>实时流作业迁移是风险最高的环节，采用以下策略：</w:t>
      </w:r>
    </w:p>
    <w:p w14:paraId="00DB3D5B">
      <w:pPr>
        <w:pStyle w:val="35"/>
        <w:widowControl/>
        <w:numPr>
          <w:ilvl w:val="0"/>
          <w:numId w:val="5"/>
        </w:numPr>
        <w:ind w:left="840" w:hanging="420"/>
        <w:contextualSpacing w:val="0"/>
        <w:rPr>
          <w:rFonts w:hint="eastAsia"/>
          <w:color w:val="auto"/>
        </w:rPr>
      </w:pPr>
      <w:r>
        <w:rPr>
          <w:rFonts w:ascii="仿宋" w:hAnsi="仿宋" w:cs="仿宋"/>
          <w:color w:val="auto"/>
          <w:szCs w:val="22"/>
        </w:rPr>
        <w:t>对每个</w:t>
      </w:r>
      <w:r>
        <w:rPr>
          <w:rFonts w:hint="eastAsia" w:cs="仿宋"/>
          <w:color w:val="auto"/>
          <w:szCs w:val="22"/>
        </w:rPr>
        <w:t>Slipstream</w:t>
      </w:r>
      <w:r>
        <w:rPr>
          <w:rFonts w:ascii="仿宋" w:hAnsi="仿宋" w:cs="仿宋"/>
          <w:color w:val="auto"/>
          <w:szCs w:val="22"/>
        </w:rPr>
        <w:t>作业创建完整的Savepoint，作为迁移失败时的回退点</w:t>
      </w:r>
    </w:p>
    <w:p w14:paraId="75CD8035">
      <w:pPr>
        <w:pStyle w:val="35"/>
        <w:widowControl/>
        <w:numPr>
          <w:ilvl w:val="0"/>
          <w:numId w:val="5"/>
        </w:numPr>
        <w:ind w:left="840" w:hanging="420"/>
        <w:contextualSpacing w:val="0"/>
        <w:rPr>
          <w:rFonts w:hint="eastAsia"/>
          <w:color w:val="auto"/>
        </w:rPr>
      </w:pPr>
      <w:r>
        <w:rPr>
          <w:rFonts w:ascii="仿宋" w:hAnsi="仿宋" w:cs="仿宋"/>
          <w:color w:val="auto"/>
          <w:szCs w:val="22"/>
        </w:rPr>
        <w:t>在新集群部署完全相同的</w:t>
      </w:r>
      <w:r>
        <w:rPr>
          <w:rFonts w:hint="eastAsia" w:cs="仿宋"/>
          <w:color w:val="auto"/>
          <w:szCs w:val="22"/>
        </w:rPr>
        <w:t>Slipstream</w:t>
      </w:r>
      <w:r>
        <w:rPr>
          <w:rFonts w:ascii="仿宋" w:hAnsi="仿宋" w:cs="仿宋"/>
          <w:color w:val="auto"/>
          <w:szCs w:val="22"/>
        </w:rPr>
        <w:t>作业（相同代码、相同配置、相同并行度）</w:t>
      </w:r>
    </w:p>
    <w:p w14:paraId="67BC5B47">
      <w:pPr>
        <w:pStyle w:val="35"/>
        <w:widowControl/>
        <w:numPr>
          <w:ilvl w:val="0"/>
          <w:numId w:val="5"/>
        </w:numPr>
        <w:ind w:left="840" w:hanging="420"/>
        <w:contextualSpacing w:val="0"/>
        <w:rPr>
          <w:rFonts w:hint="eastAsia"/>
          <w:color w:val="auto"/>
        </w:rPr>
      </w:pPr>
      <w:r>
        <w:rPr>
          <w:rFonts w:ascii="仿宋" w:hAnsi="仿宋" w:cs="仿宋"/>
          <w:color w:val="auto"/>
          <w:szCs w:val="22"/>
        </w:rPr>
        <w:t>通过Kafka Consumer Group复制机制，实现新旧集群</w:t>
      </w:r>
      <w:r>
        <w:rPr>
          <w:rFonts w:hint="eastAsia" w:cs="仿宋"/>
          <w:color w:val="auto"/>
          <w:szCs w:val="22"/>
        </w:rPr>
        <w:t>Slipstream</w:t>
      </w:r>
      <w:r>
        <w:rPr>
          <w:rFonts w:ascii="仿宋" w:hAnsi="仿宋" w:cs="仿宋"/>
          <w:color w:val="auto"/>
          <w:szCs w:val="22"/>
        </w:rPr>
        <w:t>作业从相同Offset开始处理数据，短期内双写输出</w:t>
      </w:r>
    </w:p>
    <w:p w14:paraId="40069912">
      <w:pPr>
        <w:pStyle w:val="35"/>
        <w:widowControl/>
        <w:numPr>
          <w:ilvl w:val="0"/>
          <w:numId w:val="5"/>
        </w:numPr>
        <w:ind w:left="840" w:hanging="420"/>
        <w:contextualSpacing w:val="0"/>
        <w:rPr>
          <w:rFonts w:hint="eastAsia"/>
          <w:color w:val="auto"/>
        </w:rPr>
      </w:pPr>
      <w:r>
        <w:rPr>
          <w:rFonts w:ascii="仿宋" w:hAnsi="仿宋" w:cs="仿宋"/>
          <w:color w:val="auto"/>
          <w:szCs w:val="22"/>
        </w:rPr>
        <w:t>比对新旧集群</w:t>
      </w:r>
      <w:r>
        <w:rPr>
          <w:rFonts w:hint="eastAsia" w:cs="仿宋"/>
          <w:color w:val="auto"/>
          <w:szCs w:val="22"/>
        </w:rPr>
        <w:t>Slipstream</w:t>
      </w:r>
      <w:r>
        <w:rPr>
          <w:rFonts w:ascii="仿宋" w:hAnsi="仿宋" w:cs="仿宋"/>
          <w:color w:val="auto"/>
          <w:szCs w:val="22"/>
        </w:rPr>
        <w:t>作业的输出指标（消息处理量、延迟、状态更新量）确认一致后，停止旧集群</w:t>
      </w:r>
      <w:r>
        <w:rPr>
          <w:rFonts w:hint="eastAsia" w:cs="仿宋"/>
          <w:color w:val="auto"/>
          <w:szCs w:val="22"/>
        </w:rPr>
        <w:t>Slipstream</w:t>
      </w:r>
      <w:r>
        <w:rPr>
          <w:rFonts w:ascii="仿宋" w:hAnsi="仿宋" w:cs="仿宋"/>
          <w:color w:val="auto"/>
          <w:szCs w:val="22"/>
        </w:rPr>
        <w:t>作业</w:t>
      </w:r>
    </w:p>
    <w:p w14:paraId="582B1F0E">
      <w:pPr>
        <w:pStyle w:val="35"/>
        <w:widowControl/>
        <w:numPr>
          <w:ilvl w:val="0"/>
          <w:numId w:val="5"/>
        </w:numPr>
        <w:ind w:left="840" w:hanging="420"/>
        <w:contextualSpacing w:val="0"/>
        <w:rPr>
          <w:rFonts w:hint="eastAsia"/>
          <w:color w:val="auto"/>
        </w:rPr>
      </w:pPr>
      <w:r>
        <w:rPr>
          <w:rFonts w:ascii="仿宋" w:hAnsi="仿宋" w:cs="仿宋"/>
          <w:color w:val="auto"/>
          <w:szCs w:val="22"/>
        </w:rPr>
        <w:t>整个迁移过程数据不丢失，通过Kafka的消息持久化保障断点可续</w:t>
      </w:r>
    </w:p>
    <w:p w14:paraId="09533BEC">
      <w:pPr>
        <w:pStyle w:val="6"/>
        <w:rPr>
          <w:rFonts w:hint="eastAsia"/>
          <w:color w:val="auto"/>
        </w:rPr>
      </w:pPr>
      <w:r>
        <w:rPr>
          <w:color w:val="auto"/>
        </w:rPr>
        <w:t>接口迁移方案</w:t>
      </w:r>
    </w:p>
    <w:p w14:paraId="592E8C6C">
      <w:pPr>
        <w:pStyle w:val="7"/>
        <w:rPr>
          <w:rFonts w:hint="eastAsia"/>
          <w:color w:val="auto"/>
        </w:rPr>
      </w:pPr>
      <w:r>
        <w:rPr>
          <w:color w:val="auto"/>
        </w:rPr>
        <w:t>Argodb接口迁移</w:t>
      </w:r>
    </w:p>
    <w:p w14:paraId="69CDF435">
      <w:pPr>
        <w:pStyle w:val="42"/>
        <w:jc w:val="both"/>
        <w:rPr>
          <w:rFonts w:hint="eastAsia"/>
          <w:color w:val="auto"/>
        </w:rPr>
      </w:pPr>
      <w:r>
        <w:rPr>
          <w:rFonts w:hint="eastAsia"/>
          <w:color w:val="auto"/>
          <w:szCs w:val="22"/>
        </w:rPr>
        <w:t>Argodb</w:t>
      </w:r>
      <w:r>
        <w:rPr>
          <w:color w:val="auto"/>
          <w:szCs w:val="22"/>
        </w:rPr>
        <w:t>接口是高频查询的主要入口，</w:t>
      </w:r>
      <w:r>
        <w:rPr>
          <w:rFonts w:hint="eastAsia"/>
          <w:color w:val="auto"/>
          <w:szCs w:val="22"/>
        </w:rPr>
        <w:t>通过批量脚本完成数据迁移</w:t>
      </w:r>
      <w:r>
        <w:rPr>
          <w:color w:val="auto"/>
          <w:szCs w:val="22"/>
        </w:rPr>
        <w:t>：</w:t>
      </w:r>
    </w:p>
    <w:p w14:paraId="1D1E8174">
      <w:pPr>
        <w:pStyle w:val="35"/>
        <w:widowControl/>
        <w:numPr>
          <w:ilvl w:val="0"/>
          <w:numId w:val="5"/>
        </w:numPr>
        <w:ind w:left="840" w:hanging="420"/>
        <w:contextualSpacing w:val="0"/>
        <w:rPr>
          <w:rFonts w:hint="eastAsia"/>
          <w:color w:val="auto"/>
        </w:rPr>
      </w:pPr>
      <w:r>
        <w:rPr>
          <w:rFonts w:ascii="仿宋" w:hAnsi="仿宋" w:cs="仿宋"/>
          <w:color w:val="auto"/>
          <w:szCs w:val="22"/>
        </w:rPr>
        <w:t>部署</w:t>
      </w:r>
      <w:r>
        <w:rPr>
          <w:rFonts w:hint="eastAsia" w:cs="仿宋"/>
          <w:color w:val="auto"/>
          <w:szCs w:val="22"/>
        </w:rPr>
        <w:t>CCR</w:t>
      </w:r>
      <w:r>
        <w:rPr>
          <w:rFonts w:ascii="仿宋" w:hAnsi="仿宋" w:cs="仿宋"/>
          <w:color w:val="auto"/>
          <w:szCs w:val="22"/>
        </w:rPr>
        <w:t>服务，作为新旧引擎的统一入口，对业务系统透明</w:t>
      </w:r>
    </w:p>
    <w:p w14:paraId="3658FDB5">
      <w:pPr>
        <w:pStyle w:val="7"/>
        <w:rPr>
          <w:rFonts w:hint="eastAsia"/>
          <w:color w:val="auto"/>
        </w:rPr>
      </w:pPr>
      <w:r>
        <w:rPr>
          <w:color w:val="auto"/>
        </w:rPr>
        <w:t>REST API接口迁移</w:t>
      </w:r>
    </w:p>
    <w:p w14:paraId="0F09D5EF">
      <w:pPr>
        <w:pStyle w:val="42"/>
        <w:jc w:val="both"/>
        <w:rPr>
          <w:rFonts w:hint="eastAsia"/>
          <w:color w:val="auto"/>
        </w:rPr>
      </w:pPr>
      <w:r>
        <w:rPr>
          <w:color w:val="auto"/>
          <w:szCs w:val="22"/>
        </w:rPr>
        <w:t>通过API网关（如Kong/Nginx）的路由规则更新实现REST API接口的灰度切换，下游业务系统无需修改任何配置。</w:t>
      </w:r>
    </w:p>
    <w:p w14:paraId="0760E8C0">
      <w:pPr>
        <w:pStyle w:val="5"/>
        <w:rPr>
          <w:rFonts w:hint="eastAsia"/>
          <w:color w:val="auto"/>
        </w:rPr>
      </w:pPr>
      <w:r>
        <w:rPr>
          <w:color w:val="auto"/>
        </w:rPr>
        <w:t>灰度切换方案</w:t>
      </w:r>
    </w:p>
    <w:p w14:paraId="2BCDC6B2">
      <w:pPr>
        <w:pStyle w:val="6"/>
        <w:rPr>
          <w:rFonts w:hint="eastAsia"/>
          <w:color w:val="auto"/>
        </w:rPr>
      </w:pPr>
      <w:r>
        <w:rPr>
          <w:color w:val="auto"/>
        </w:rPr>
        <w:t>灰度切换总体设计</w:t>
      </w:r>
    </w:p>
    <w:p w14:paraId="104C764E">
      <w:pPr>
        <w:pStyle w:val="42"/>
        <w:jc w:val="both"/>
        <w:rPr>
          <w:rFonts w:hint="eastAsia"/>
          <w:color w:val="auto"/>
        </w:rPr>
      </w:pPr>
      <w:r>
        <w:rPr>
          <w:color w:val="auto"/>
          <w:szCs w:val="22"/>
        </w:rPr>
        <w:t>灰度切换是本次升级改造中风险最敏感的环节，通过科学的流量控制和严格的验收标准，确保每一步灰度扩大都是可控的、可回退的。</w:t>
      </w:r>
    </w:p>
    <w:p w14:paraId="6063476E">
      <w:pPr>
        <w:pStyle w:val="6"/>
        <w:rPr>
          <w:rFonts w:hint="eastAsia"/>
          <w:color w:val="auto"/>
        </w:rPr>
      </w:pPr>
      <w:r>
        <w:rPr>
          <w:color w:val="auto"/>
        </w:rPr>
        <w:t>流量灰度策略</w:t>
      </w:r>
    </w:p>
    <w:p w14:paraId="5BB83089">
      <w:pPr>
        <w:pStyle w:val="42"/>
        <w:jc w:val="both"/>
        <w:rPr>
          <w:rFonts w:hint="eastAsia"/>
          <w:color w:val="auto"/>
        </w:rPr>
      </w:pPr>
      <w:r>
        <w:rPr>
          <w:color w:val="auto"/>
          <w:szCs w:val="22"/>
        </w:rPr>
        <w:t>流量灰度通过以下四个维度进行精细控制：</w:t>
      </w:r>
    </w:p>
    <w:p w14:paraId="442ACEFC">
      <w:pPr>
        <w:pStyle w:val="7"/>
        <w:rPr>
          <w:rFonts w:hint="eastAsia"/>
          <w:color w:val="auto"/>
        </w:rPr>
      </w:pPr>
      <w:r>
        <w:rPr>
          <w:color w:val="auto"/>
        </w:rPr>
        <w:t>按业务系统灰度</w:t>
      </w:r>
    </w:p>
    <w:p w14:paraId="395383DF">
      <w:pPr>
        <w:pStyle w:val="42"/>
        <w:jc w:val="both"/>
        <w:rPr>
          <w:rFonts w:hint="eastAsia"/>
          <w:color w:val="auto"/>
        </w:rPr>
      </w:pPr>
      <w:r>
        <w:rPr>
          <w:color w:val="auto"/>
          <w:szCs w:val="22"/>
        </w:rPr>
        <w:t>将业务系统按重要性分为A/B/C三级，切换顺序为C级→B级→A级：</w:t>
      </w:r>
    </w:p>
    <w:p w14:paraId="53F6D22F">
      <w:pPr>
        <w:pStyle w:val="35"/>
        <w:widowControl/>
        <w:numPr>
          <w:ilvl w:val="0"/>
          <w:numId w:val="5"/>
        </w:numPr>
        <w:ind w:left="840" w:hanging="420"/>
        <w:contextualSpacing w:val="0"/>
        <w:rPr>
          <w:rFonts w:hint="eastAsia"/>
          <w:color w:val="auto"/>
        </w:rPr>
      </w:pPr>
      <w:r>
        <w:rPr>
          <w:rFonts w:ascii="仿宋" w:hAnsi="仿宋" w:cs="仿宋"/>
          <w:color w:val="auto"/>
          <w:szCs w:val="22"/>
        </w:rPr>
        <w:t>C级（低重要性）：统计报表、历史查询等非实时系统，优先切换</w:t>
      </w:r>
    </w:p>
    <w:p w14:paraId="3EEA3C8D">
      <w:pPr>
        <w:pStyle w:val="35"/>
        <w:widowControl/>
        <w:numPr>
          <w:ilvl w:val="0"/>
          <w:numId w:val="5"/>
        </w:numPr>
        <w:ind w:left="840" w:hanging="420"/>
        <w:contextualSpacing w:val="0"/>
        <w:rPr>
          <w:rFonts w:hint="eastAsia"/>
          <w:color w:val="auto"/>
        </w:rPr>
      </w:pPr>
      <w:r>
        <w:rPr>
          <w:rFonts w:ascii="仿宋" w:hAnsi="仿宋" w:cs="仿宋"/>
          <w:color w:val="auto"/>
          <w:szCs w:val="22"/>
        </w:rPr>
        <w:t>B级（中重要性）：日常分析系统、部门内部系统，第二批切换</w:t>
      </w:r>
    </w:p>
    <w:p w14:paraId="3B21C125">
      <w:pPr>
        <w:pStyle w:val="35"/>
        <w:widowControl/>
        <w:numPr>
          <w:ilvl w:val="0"/>
          <w:numId w:val="5"/>
        </w:numPr>
        <w:ind w:left="840" w:hanging="420"/>
        <w:contextualSpacing w:val="0"/>
        <w:rPr>
          <w:rFonts w:hint="eastAsia"/>
          <w:color w:val="auto"/>
        </w:rPr>
      </w:pPr>
      <w:r>
        <w:rPr>
          <w:rFonts w:ascii="仿宋" w:hAnsi="仿宋" w:cs="仿宋"/>
          <w:color w:val="auto"/>
          <w:szCs w:val="22"/>
        </w:rPr>
        <w:t>A级（高重要性）：领导驾驶舱、一网通办、一网统管、共享交换等核心系统，最后切换</w:t>
      </w:r>
    </w:p>
    <w:p w14:paraId="18FB6CB4">
      <w:pPr>
        <w:pStyle w:val="7"/>
        <w:rPr>
          <w:rFonts w:hint="eastAsia"/>
          <w:color w:val="auto"/>
        </w:rPr>
      </w:pPr>
      <w:r>
        <w:rPr>
          <w:color w:val="auto"/>
        </w:rPr>
        <w:t>按流量比例灰度</w:t>
      </w:r>
    </w:p>
    <w:p w14:paraId="0085FB14">
      <w:pPr>
        <w:pStyle w:val="42"/>
        <w:jc w:val="both"/>
        <w:rPr>
          <w:rFonts w:hint="eastAsia"/>
          <w:color w:val="auto"/>
        </w:rPr>
      </w:pPr>
      <w:r>
        <w:rPr>
          <w:color w:val="auto"/>
          <w:szCs w:val="22"/>
        </w:rPr>
        <w:t>在同一业务系统内，通过网关路由规则按比例切分流量：</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6"/>
        <w:gridCol w:w="1936"/>
        <w:gridCol w:w="2059"/>
        <w:gridCol w:w="1168"/>
        <w:gridCol w:w="2073"/>
      </w:tblGrid>
      <w:tr w14:paraId="2F8E9745">
        <w:tc>
          <w:tcPr>
            <w:tcW w:w="755" w:type="pct"/>
          </w:tcPr>
          <w:p w14:paraId="2EFDDEE5">
            <w:pPr>
              <w:pStyle w:val="43"/>
              <w:jc w:val="center"/>
              <w:rPr>
                <w:rFonts w:ascii="仿宋" w:hAnsi="仿宋" w:eastAsia="仿宋"/>
                <w:color w:val="auto"/>
                <w:sz w:val="24"/>
              </w:rPr>
            </w:pPr>
            <w:r>
              <w:rPr>
                <w:rFonts w:ascii="仿宋" w:hAnsi="仿宋" w:eastAsia="仿宋"/>
                <w:bCs/>
                <w:color w:val="auto"/>
                <w:sz w:val="24"/>
              </w:rPr>
              <w:t>灰度阶段</w:t>
            </w:r>
          </w:p>
        </w:tc>
        <w:tc>
          <w:tcPr>
            <w:tcW w:w="1136" w:type="pct"/>
          </w:tcPr>
          <w:p w14:paraId="5C5CCC9C">
            <w:pPr>
              <w:pStyle w:val="43"/>
              <w:jc w:val="center"/>
              <w:rPr>
                <w:rFonts w:ascii="仿宋" w:hAnsi="仿宋" w:eastAsia="仿宋"/>
                <w:color w:val="auto"/>
                <w:sz w:val="24"/>
              </w:rPr>
            </w:pPr>
            <w:r>
              <w:rPr>
                <w:rFonts w:ascii="仿宋" w:hAnsi="仿宋" w:eastAsia="仿宋"/>
                <w:bCs/>
                <w:color w:val="auto"/>
                <w:sz w:val="24"/>
              </w:rPr>
              <w:t>新集群流量比例</w:t>
            </w:r>
          </w:p>
        </w:tc>
        <w:tc>
          <w:tcPr>
            <w:tcW w:w="1208" w:type="pct"/>
          </w:tcPr>
          <w:p w14:paraId="6F2264B5">
            <w:pPr>
              <w:pStyle w:val="43"/>
              <w:jc w:val="center"/>
              <w:rPr>
                <w:rFonts w:ascii="仿宋" w:hAnsi="仿宋" w:eastAsia="仿宋"/>
                <w:color w:val="auto"/>
                <w:sz w:val="24"/>
              </w:rPr>
            </w:pPr>
            <w:r>
              <w:rPr>
                <w:rFonts w:ascii="仿宋" w:hAnsi="仿宋" w:eastAsia="仿宋"/>
                <w:bCs/>
                <w:color w:val="auto"/>
                <w:sz w:val="24"/>
              </w:rPr>
              <w:t>旧集群流量比例</w:t>
            </w:r>
          </w:p>
        </w:tc>
        <w:tc>
          <w:tcPr>
            <w:tcW w:w="685" w:type="pct"/>
          </w:tcPr>
          <w:p w14:paraId="157E68CB">
            <w:pPr>
              <w:pStyle w:val="43"/>
              <w:jc w:val="center"/>
              <w:rPr>
                <w:rFonts w:ascii="仿宋" w:hAnsi="仿宋" w:eastAsia="仿宋"/>
                <w:color w:val="auto"/>
                <w:sz w:val="24"/>
              </w:rPr>
            </w:pPr>
            <w:r>
              <w:rPr>
                <w:rFonts w:ascii="仿宋" w:hAnsi="仿宋" w:eastAsia="仿宋"/>
                <w:bCs/>
                <w:color w:val="auto"/>
                <w:sz w:val="24"/>
              </w:rPr>
              <w:t>持续时间</w:t>
            </w:r>
          </w:p>
        </w:tc>
        <w:tc>
          <w:tcPr>
            <w:tcW w:w="1216" w:type="pct"/>
          </w:tcPr>
          <w:p w14:paraId="2D870319">
            <w:pPr>
              <w:pStyle w:val="43"/>
              <w:jc w:val="center"/>
              <w:rPr>
                <w:rFonts w:ascii="仿宋" w:hAnsi="仿宋" w:eastAsia="仿宋"/>
                <w:color w:val="auto"/>
                <w:sz w:val="24"/>
              </w:rPr>
            </w:pPr>
            <w:r>
              <w:rPr>
                <w:rFonts w:ascii="仿宋" w:hAnsi="仿宋" w:eastAsia="仿宋"/>
                <w:bCs/>
                <w:color w:val="auto"/>
                <w:sz w:val="24"/>
              </w:rPr>
              <w:t>晋级标准</w:t>
            </w:r>
          </w:p>
        </w:tc>
      </w:tr>
      <w:tr w14:paraId="07A3038E">
        <w:tc>
          <w:tcPr>
            <w:tcW w:w="755" w:type="pct"/>
          </w:tcPr>
          <w:p w14:paraId="0C4E0CF5">
            <w:pPr>
              <w:pStyle w:val="43"/>
              <w:rPr>
                <w:rFonts w:ascii="仿宋" w:hAnsi="仿宋" w:eastAsia="仿宋"/>
                <w:color w:val="auto"/>
                <w:sz w:val="24"/>
              </w:rPr>
            </w:pPr>
            <w:r>
              <w:rPr>
                <w:rFonts w:ascii="仿宋" w:hAnsi="仿宋" w:eastAsia="仿宋"/>
                <w:color w:val="auto"/>
                <w:sz w:val="24"/>
              </w:rPr>
              <w:t>Canary</w:t>
            </w:r>
          </w:p>
        </w:tc>
        <w:tc>
          <w:tcPr>
            <w:tcW w:w="1136" w:type="pct"/>
          </w:tcPr>
          <w:p w14:paraId="2953D325">
            <w:pPr>
              <w:pStyle w:val="43"/>
              <w:rPr>
                <w:rFonts w:ascii="仿宋" w:hAnsi="仿宋" w:eastAsia="仿宋"/>
                <w:color w:val="auto"/>
                <w:sz w:val="24"/>
              </w:rPr>
            </w:pPr>
            <w:r>
              <w:rPr>
                <w:rFonts w:ascii="仿宋" w:hAnsi="仿宋" w:eastAsia="仿宋"/>
                <w:color w:val="auto"/>
                <w:sz w:val="24"/>
              </w:rPr>
              <w:t>5%</w:t>
            </w:r>
          </w:p>
        </w:tc>
        <w:tc>
          <w:tcPr>
            <w:tcW w:w="1208" w:type="pct"/>
          </w:tcPr>
          <w:p w14:paraId="0FD7F881">
            <w:pPr>
              <w:pStyle w:val="43"/>
              <w:rPr>
                <w:rFonts w:ascii="仿宋" w:hAnsi="仿宋" w:eastAsia="仿宋"/>
                <w:color w:val="auto"/>
                <w:sz w:val="24"/>
              </w:rPr>
            </w:pPr>
            <w:r>
              <w:rPr>
                <w:rFonts w:ascii="仿宋" w:hAnsi="仿宋" w:eastAsia="仿宋"/>
                <w:color w:val="auto"/>
                <w:sz w:val="24"/>
              </w:rPr>
              <w:t>95%</w:t>
            </w:r>
          </w:p>
        </w:tc>
        <w:tc>
          <w:tcPr>
            <w:tcW w:w="685" w:type="pct"/>
          </w:tcPr>
          <w:p w14:paraId="6B6519F8">
            <w:pPr>
              <w:pStyle w:val="43"/>
              <w:rPr>
                <w:rFonts w:ascii="仿宋" w:hAnsi="仿宋" w:eastAsia="仿宋"/>
                <w:color w:val="auto"/>
                <w:sz w:val="24"/>
              </w:rPr>
            </w:pPr>
            <w:r>
              <w:rPr>
                <w:rFonts w:ascii="仿宋" w:hAnsi="仿宋" w:eastAsia="仿宋"/>
                <w:color w:val="auto"/>
                <w:sz w:val="24"/>
              </w:rPr>
              <w:t>3天</w:t>
            </w:r>
          </w:p>
        </w:tc>
        <w:tc>
          <w:tcPr>
            <w:tcW w:w="1216" w:type="pct"/>
          </w:tcPr>
          <w:p w14:paraId="20A22646">
            <w:pPr>
              <w:pStyle w:val="43"/>
              <w:rPr>
                <w:rFonts w:ascii="仿宋" w:hAnsi="仿宋" w:eastAsia="仿宋"/>
                <w:color w:val="auto"/>
                <w:sz w:val="24"/>
              </w:rPr>
            </w:pPr>
            <w:r>
              <w:rPr>
                <w:rFonts w:ascii="仿宋" w:hAnsi="仿宋" w:eastAsia="仿宋"/>
                <w:color w:val="auto"/>
                <w:sz w:val="24"/>
              </w:rPr>
              <w:t>新集群错误率&lt;0.1%，P99&lt;旧集群2倍</w:t>
            </w:r>
          </w:p>
        </w:tc>
      </w:tr>
      <w:tr w14:paraId="7768F67A">
        <w:tc>
          <w:tcPr>
            <w:tcW w:w="755" w:type="pct"/>
          </w:tcPr>
          <w:p w14:paraId="13CC13F0">
            <w:pPr>
              <w:pStyle w:val="43"/>
              <w:rPr>
                <w:rFonts w:ascii="仿宋" w:hAnsi="仿宋" w:eastAsia="仿宋"/>
                <w:color w:val="auto"/>
                <w:sz w:val="24"/>
              </w:rPr>
            </w:pPr>
            <w:r>
              <w:rPr>
                <w:rFonts w:ascii="仿宋" w:hAnsi="仿宋" w:eastAsia="仿宋"/>
                <w:color w:val="auto"/>
                <w:sz w:val="24"/>
              </w:rPr>
              <w:t>Small</w:t>
            </w:r>
          </w:p>
        </w:tc>
        <w:tc>
          <w:tcPr>
            <w:tcW w:w="1136" w:type="pct"/>
          </w:tcPr>
          <w:p w14:paraId="17259E41">
            <w:pPr>
              <w:pStyle w:val="43"/>
              <w:rPr>
                <w:rFonts w:ascii="仿宋" w:hAnsi="仿宋" w:eastAsia="仿宋"/>
                <w:color w:val="auto"/>
                <w:sz w:val="24"/>
              </w:rPr>
            </w:pPr>
            <w:r>
              <w:rPr>
                <w:rFonts w:ascii="仿宋" w:hAnsi="仿宋" w:eastAsia="仿宋"/>
                <w:color w:val="auto"/>
                <w:sz w:val="24"/>
              </w:rPr>
              <w:t>20%</w:t>
            </w:r>
          </w:p>
        </w:tc>
        <w:tc>
          <w:tcPr>
            <w:tcW w:w="1208" w:type="pct"/>
          </w:tcPr>
          <w:p w14:paraId="1934E2B5">
            <w:pPr>
              <w:pStyle w:val="43"/>
              <w:rPr>
                <w:rFonts w:ascii="仿宋" w:hAnsi="仿宋" w:eastAsia="仿宋"/>
                <w:color w:val="auto"/>
                <w:sz w:val="24"/>
              </w:rPr>
            </w:pPr>
            <w:r>
              <w:rPr>
                <w:rFonts w:ascii="仿宋" w:hAnsi="仿宋" w:eastAsia="仿宋"/>
                <w:color w:val="auto"/>
                <w:sz w:val="24"/>
              </w:rPr>
              <w:t>80%</w:t>
            </w:r>
          </w:p>
        </w:tc>
        <w:tc>
          <w:tcPr>
            <w:tcW w:w="685" w:type="pct"/>
          </w:tcPr>
          <w:p w14:paraId="1CE9EAFC">
            <w:pPr>
              <w:pStyle w:val="43"/>
              <w:rPr>
                <w:rFonts w:ascii="仿宋" w:hAnsi="仿宋" w:eastAsia="仿宋"/>
                <w:color w:val="auto"/>
                <w:sz w:val="24"/>
              </w:rPr>
            </w:pPr>
            <w:r>
              <w:rPr>
                <w:rFonts w:ascii="仿宋" w:hAnsi="仿宋" w:eastAsia="仿宋"/>
                <w:color w:val="auto"/>
                <w:sz w:val="24"/>
              </w:rPr>
              <w:t>3天</w:t>
            </w:r>
          </w:p>
        </w:tc>
        <w:tc>
          <w:tcPr>
            <w:tcW w:w="1216" w:type="pct"/>
          </w:tcPr>
          <w:p w14:paraId="54E885FC">
            <w:pPr>
              <w:pStyle w:val="43"/>
              <w:rPr>
                <w:rFonts w:ascii="仿宋" w:hAnsi="仿宋" w:eastAsia="仿宋"/>
                <w:color w:val="auto"/>
                <w:sz w:val="24"/>
              </w:rPr>
            </w:pPr>
            <w:r>
              <w:rPr>
                <w:rFonts w:ascii="仿宋" w:hAnsi="仿宋" w:eastAsia="仿宋"/>
                <w:color w:val="auto"/>
                <w:sz w:val="24"/>
              </w:rPr>
              <w:t>新集群错误率&lt;0.1%，P99&lt;旧集群1.5倍</w:t>
            </w:r>
          </w:p>
        </w:tc>
      </w:tr>
      <w:tr w14:paraId="4E347F55">
        <w:tc>
          <w:tcPr>
            <w:tcW w:w="755" w:type="pct"/>
          </w:tcPr>
          <w:p w14:paraId="10C48FAC">
            <w:pPr>
              <w:pStyle w:val="43"/>
              <w:rPr>
                <w:rFonts w:ascii="仿宋" w:hAnsi="仿宋" w:eastAsia="仿宋"/>
                <w:color w:val="auto"/>
                <w:sz w:val="24"/>
              </w:rPr>
            </w:pPr>
            <w:r>
              <w:rPr>
                <w:rFonts w:ascii="仿宋" w:hAnsi="仿宋" w:eastAsia="仿宋"/>
                <w:color w:val="auto"/>
                <w:sz w:val="24"/>
              </w:rPr>
              <w:t>Medium</w:t>
            </w:r>
          </w:p>
        </w:tc>
        <w:tc>
          <w:tcPr>
            <w:tcW w:w="1136" w:type="pct"/>
          </w:tcPr>
          <w:p w14:paraId="5FC87BF2">
            <w:pPr>
              <w:pStyle w:val="43"/>
              <w:rPr>
                <w:rFonts w:ascii="仿宋" w:hAnsi="仿宋" w:eastAsia="仿宋"/>
                <w:color w:val="auto"/>
                <w:sz w:val="24"/>
              </w:rPr>
            </w:pPr>
            <w:r>
              <w:rPr>
                <w:rFonts w:ascii="仿宋" w:hAnsi="仿宋" w:eastAsia="仿宋"/>
                <w:color w:val="auto"/>
                <w:sz w:val="24"/>
              </w:rPr>
              <w:t>50%</w:t>
            </w:r>
          </w:p>
        </w:tc>
        <w:tc>
          <w:tcPr>
            <w:tcW w:w="1208" w:type="pct"/>
          </w:tcPr>
          <w:p w14:paraId="2947D12D">
            <w:pPr>
              <w:pStyle w:val="43"/>
              <w:rPr>
                <w:rFonts w:ascii="仿宋" w:hAnsi="仿宋" w:eastAsia="仿宋"/>
                <w:color w:val="auto"/>
                <w:sz w:val="24"/>
              </w:rPr>
            </w:pPr>
            <w:r>
              <w:rPr>
                <w:rFonts w:ascii="仿宋" w:hAnsi="仿宋" w:eastAsia="仿宋"/>
                <w:color w:val="auto"/>
                <w:sz w:val="24"/>
              </w:rPr>
              <w:t>50%</w:t>
            </w:r>
          </w:p>
        </w:tc>
        <w:tc>
          <w:tcPr>
            <w:tcW w:w="685" w:type="pct"/>
          </w:tcPr>
          <w:p w14:paraId="43307228">
            <w:pPr>
              <w:pStyle w:val="43"/>
              <w:rPr>
                <w:rFonts w:ascii="仿宋" w:hAnsi="仿宋" w:eastAsia="仿宋"/>
                <w:color w:val="auto"/>
                <w:sz w:val="24"/>
              </w:rPr>
            </w:pPr>
            <w:r>
              <w:rPr>
                <w:rFonts w:ascii="仿宋" w:hAnsi="仿宋" w:eastAsia="仿宋"/>
                <w:color w:val="auto"/>
                <w:sz w:val="24"/>
              </w:rPr>
              <w:t>5天</w:t>
            </w:r>
          </w:p>
        </w:tc>
        <w:tc>
          <w:tcPr>
            <w:tcW w:w="1216" w:type="pct"/>
          </w:tcPr>
          <w:p w14:paraId="349834F6">
            <w:pPr>
              <w:pStyle w:val="43"/>
              <w:rPr>
                <w:rFonts w:ascii="仿宋" w:hAnsi="仿宋" w:eastAsia="仿宋"/>
                <w:color w:val="auto"/>
                <w:sz w:val="24"/>
              </w:rPr>
            </w:pPr>
            <w:r>
              <w:rPr>
                <w:rFonts w:ascii="仿宋" w:hAnsi="仿宋" w:eastAsia="仿宋"/>
                <w:color w:val="auto"/>
                <w:sz w:val="24"/>
              </w:rPr>
              <w:t>新集群错误率&lt;0.05%，P99≤旧集群</w:t>
            </w:r>
          </w:p>
        </w:tc>
      </w:tr>
      <w:tr w14:paraId="1173071E">
        <w:tc>
          <w:tcPr>
            <w:tcW w:w="755" w:type="pct"/>
          </w:tcPr>
          <w:p w14:paraId="4F05C209">
            <w:pPr>
              <w:pStyle w:val="43"/>
              <w:rPr>
                <w:rFonts w:ascii="仿宋" w:hAnsi="仿宋" w:eastAsia="仿宋"/>
                <w:color w:val="auto"/>
                <w:sz w:val="24"/>
              </w:rPr>
            </w:pPr>
            <w:r>
              <w:rPr>
                <w:rFonts w:ascii="仿宋" w:hAnsi="仿宋" w:eastAsia="仿宋"/>
                <w:color w:val="auto"/>
                <w:sz w:val="24"/>
              </w:rPr>
              <w:t>Large</w:t>
            </w:r>
          </w:p>
        </w:tc>
        <w:tc>
          <w:tcPr>
            <w:tcW w:w="1136" w:type="pct"/>
          </w:tcPr>
          <w:p w14:paraId="2AF1AB29">
            <w:pPr>
              <w:pStyle w:val="43"/>
              <w:rPr>
                <w:rFonts w:ascii="仿宋" w:hAnsi="仿宋" w:eastAsia="仿宋"/>
                <w:color w:val="auto"/>
                <w:sz w:val="24"/>
              </w:rPr>
            </w:pPr>
            <w:r>
              <w:rPr>
                <w:rFonts w:ascii="仿宋" w:hAnsi="仿宋" w:eastAsia="仿宋"/>
                <w:color w:val="auto"/>
                <w:sz w:val="24"/>
              </w:rPr>
              <w:t>80%</w:t>
            </w:r>
          </w:p>
        </w:tc>
        <w:tc>
          <w:tcPr>
            <w:tcW w:w="1208" w:type="pct"/>
          </w:tcPr>
          <w:p w14:paraId="14402036">
            <w:pPr>
              <w:pStyle w:val="43"/>
              <w:rPr>
                <w:rFonts w:ascii="仿宋" w:hAnsi="仿宋" w:eastAsia="仿宋"/>
                <w:color w:val="auto"/>
                <w:sz w:val="24"/>
              </w:rPr>
            </w:pPr>
            <w:r>
              <w:rPr>
                <w:rFonts w:ascii="仿宋" w:hAnsi="仿宋" w:eastAsia="仿宋"/>
                <w:color w:val="auto"/>
                <w:sz w:val="24"/>
              </w:rPr>
              <w:t>20%</w:t>
            </w:r>
          </w:p>
        </w:tc>
        <w:tc>
          <w:tcPr>
            <w:tcW w:w="685" w:type="pct"/>
          </w:tcPr>
          <w:p w14:paraId="7B2062B3">
            <w:pPr>
              <w:pStyle w:val="43"/>
              <w:rPr>
                <w:rFonts w:ascii="仿宋" w:hAnsi="仿宋" w:eastAsia="仿宋"/>
                <w:color w:val="auto"/>
                <w:sz w:val="24"/>
              </w:rPr>
            </w:pPr>
            <w:r>
              <w:rPr>
                <w:rFonts w:ascii="仿宋" w:hAnsi="仿宋" w:eastAsia="仿宋"/>
                <w:color w:val="auto"/>
                <w:sz w:val="24"/>
              </w:rPr>
              <w:t>3天</w:t>
            </w:r>
          </w:p>
        </w:tc>
        <w:tc>
          <w:tcPr>
            <w:tcW w:w="1216" w:type="pct"/>
          </w:tcPr>
          <w:p w14:paraId="247757E1">
            <w:pPr>
              <w:pStyle w:val="43"/>
              <w:rPr>
                <w:rFonts w:ascii="仿宋" w:hAnsi="仿宋" w:eastAsia="仿宋"/>
                <w:color w:val="auto"/>
                <w:sz w:val="24"/>
              </w:rPr>
            </w:pPr>
            <w:r>
              <w:rPr>
                <w:rFonts w:ascii="仿宋" w:hAnsi="仿宋" w:eastAsia="仿宋"/>
                <w:color w:val="auto"/>
                <w:sz w:val="24"/>
              </w:rPr>
              <w:t>新集群错误率&lt;0.05%，P99&lt;旧集群</w:t>
            </w:r>
          </w:p>
        </w:tc>
      </w:tr>
      <w:tr w14:paraId="28A75579">
        <w:tc>
          <w:tcPr>
            <w:tcW w:w="755" w:type="pct"/>
          </w:tcPr>
          <w:p w14:paraId="04E4BC1B">
            <w:pPr>
              <w:pStyle w:val="43"/>
              <w:rPr>
                <w:rFonts w:ascii="仿宋" w:hAnsi="仿宋" w:eastAsia="仿宋"/>
                <w:color w:val="auto"/>
                <w:sz w:val="24"/>
              </w:rPr>
            </w:pPr>
            <w:r>
              <w:rPr>
                <w:rFonts w:ascii="仿宋" w:hAnsi="仿宋" w:eastAsia="仿宋"/>
                <w:color w:val="auto"/>
                <w:sz w:val="24"/>
              </w:rPr>
              <w:t>Full</w:t>
            </w:r>
          </w:p>
        </w:tc>
        <w:tc>
          <w:tcPr>
            <w:tcW w:w="1136" w:type="pct"/>
          </w:tcPr>
          <w:p w14:paraId="5610FFBF">
            <w:pPr>
              <w:pStyle w:val="43"/>
              <w:rPr>
                <w:rFonts w:ascii="仿宋" w:hAnsi="仿宋" w:eastAsia="仿宋"/>
                <w:color w:val="auto"/>
                <w:sz w:val="24"/>
              </w:rPr>
            </w:pPr>
            <w:r>
              <w:rPr>
                <w:rFonts w:ascii="仿宋" w:hAnsi="仿宋" w:eastAsia="仿宋"/>
                <w:color w:val="auto"/>
                <w:sz w:val="24"/>
              </w:rPr>
              <w:t>100%</w:t>
            </w:r>
          </w:p>
        </w:tc>
        <w:tc>
          <w:tcPr>
            <w:tcW w:w="1208" w:type="pct"/>
          </w:tcPr>
          <w:p w14:paraId="6530151B">
            <w:pPr>
              <w:pStyle w:val="43"/>
              <w:rPr>
                <w:rFonts w:ascii="仿宋" w:hAnsi="仿宋" w:eastAsia="仿宋"/>
                <w:color w:val="auto"/>
                <w:sz w:val="24"/>
              </w:rPr>
            </w:pPr>
            <w:r>
              <w:rPr>
                <w:rFonts w:ascii="仿宋" w:hAnsi="仿宋" w:eastAsia="仿宋"/>
                <w:color w:val="auto"/>
                <w:sz w:val="24"/>
              </w:rPr>
              <w:t>0%</w:t>
            </w:r>
          </w:p>
        </w:tc>
        <w:tc>
          <w:tcPr>
            <w:tcW w:w="685" w:type="pct"/>
          </w:tcPr>
          <w:p w14:paraId="00A69B08">
            <w:pPr>
              <w:pStyle w:val="43"/>
              <w:rPr>
                <w:rFonts w:ascii="仿宋" w:hAnsi="仿宋" w:eastAsia="仿宋"/>
                <w:color w:val="auto"/>
                <w:sz w:val="24"/>
              </w:rPr>
            </w:pPr>
            <w:r>
              <w:rPr>
                <w:rFonts w:ascii="仿宋" w:hAnsi="仿宋" w:eastAsia="仿宋"/>
                <w:color w:val="auto"/>
                <w:sz w:val="24"/>
              </w:rPr>
              <w:t>持续</w:t>
            </w:r>
          </w:p>
        </w:tc>
        <w:tc>
          <w:tcPr>
            <w:tcW w:w="1216" w:type="pct"/>
          </w:tcPr>
          <w:p w14:paraId="12963CCE">
            <w:pPr>
              <w:pStyle w:val="43"/>
              <w:rPr>
                <w:rFonts w:ascii="仿宋" w:hAnsi="仿宋" w:eastAsia="仿宋"/>
                <w:color w:val="auto"/>
                <w:sz w:val="24"/>
              </w:rPr>
            </w:pPr>
            <w:r>
              <w:rPr>
                <w:rFonts w:ascii="仿宋" w:hAnsi="仿宋" w:eastAsia="仿宋"/>
                <w:color w:val="auto"/>
                <w:sz w:val="24"/>
              </w:rPr>
              <w:t>通过，全量切换完成</w:t>
            </w:r>
          </w:p>
        </w:tc>
      </w:tr>
    </w:tbl>
    <w:p w14:paraId="3686CF7F">
      <w:pPr>
        <w:pStyle w:val="7"/>
        <w:rPr>
          <w:rFonts w:hint="eastAsia"/>
          <w:color w:val="auto"/>
        </w:rPr>
      </w:pPr>
      <w:r>
        <w:rPr>
          <w:color w:val="auto"/>
        </w:rPr>
        <w:t>计算通道切换</w:t>
      </w:r>
    </w:p>
    <w:p w14:paraId="6CD316BC">
      <w:pPr>
        <w:pStyle w:val="42"/>
        <w:jc w:val="both"/>
        <w:rPr>
          <w:rFonts w:hint="eastAsia"/>
          <w:color w:val="auto"/>
        </w:rPr>
      </w:pPr>
      <w:r>
        <w:rPr>
          <w:color w:val="auto"/>
          <w:szCs w:val="22"/>
        </w:rPr>
        <w:t>计算通道切换指YARN作业提交从旧集群YARN切换至新集群YARN的过程。通过调度系统（DolphinScheduler）的集群配置，实现按队列、按作业类型的渐进式切换：</w:t>
      </w:r>
    </w:p>
    <w:p w14:paraId="791C197D">
      <w:pPr>
        <w:pStyle w:val="35"/>
        <w:widowControl/>
        <w:numPr>
          <w:ilvl w:val="0"/>
          <w:numId w:val="5"/>
        </w:numPr>
        <w:ind w:left="840" w:hanging="420"/>
        <w:contextualSpacing w:val="0"/>
        <w:rPr>
          <w:rFonts w:hint="eastAsia"/>
          <w:color w:val="auto"/>
        </w:rPr>
      </w:pPr>
      <w:r>
        <w:rPr>
          <w:rFonts w:ascii="仿宋" w:hAnsi="仿宋" w:cs="仿宋"/>
          <w:color w:val="auto"/>
          <w:szCs w:val="22"/>
        </w:rPr>
        <w:t>第一步：将非核心批处理作业（如数据质量检查、统计汇总）切换至新YARN</w:t>
      </w:r>
    </w:p>
    <w:p w14:paraId="460ABF87">
      <w:pPr>
        <w:pStyle w:val="35"/>
        <w:widowControl/>
        <w:numPr>
          <w:ilvl w:val="0"/>
          <w:numId w:val="5"/>
        </w:numPr>
        <w:ind w:left="840" w:hanging="420"/>
        <w:contextualSpacing w:val="0"/>
        <w:rPr>
          <w:rFonts w:hint="eastAsia"/>
          <w:color w:val="auto"/>
        </w:rPr>
      </w:pPr>
      <w:r>
        <w:rPr>
          <w:rFonts w:ascii="仿宋" w:hAnsi="仿宋" w:cs="仿宋"/>
          <w:color w:val="auto"/>
          <w:szCs w:val="22"/>
        </w:rPr>
        <w:t>第二步：将次核心批处理作业（如跨部门数据汇聚）切换至新YARN</w:t>
      </w:r>
    </w:p>
    <w:p w14:paraId="25628645">
      <w:pPr>
        <w:pStyle w:val="35"/>
        <w:widowControl/>
        <w:numPr>
          <w:ilvl w:val="0"/>
          <w:numId w:val="5"/>
        </w:numPr>
        <w:ind w:left="840" w:hanging="420"/>
        <w:contextualSpacing w:val="0"/>
        <w:rPr>
          <w:rFonts w:hint="eastAsia"/>
          <w:color w:val="auto"/>
        </w:rPr>
      </w:pPr>
      <w:r>
        <w:rPr>
          <w:rFonts w:ascii="仿宋" w:hAnsi="仿宋" w:cs="仿宋"/>
          <w:color w:val="auto"/>
          <w:szCs w:val="22"/>
        </w:rPr>
        <w:t>第三步：将核心夜间批处理作业切换至新YARN，同时旧集群作影子运行</w:t>
      </w:r>
    </w:p>
    <w:p w14:paraId="4FC5D1F1">
      <w:pPr>
        <w:pStyle w:val="35"/>
        <w:widowControl/>
        <w:numPr>
          <w:ilvl w:val="0"/>
          <w:numId w:val="5"/>
        </w:numPr>
        <w:ind w:left="840" w:hanging="420"/>
        <w:contextualSpacing w:val="0"/>
        <w:rPr>
          <w:rFonts w:hint="eastAsia"/>
          <w:color w:val="auto"/>
        </w:rPr>
      </w:pPr>
      <w:r>
        <w:rPr>
          <w:rFonts w:ascii="仿宋" w:hAnsi="仿宋" w:cs="仿宋"/>
          <w:color w:val="auto"/>
          <w:szCs w:val="22"/>
        </w:rPr>
        <w:t>第四步：确认批处理完全稳定后，停止旧集群计算通道</w:t>
      </w:r>
    </w:p>
    <w:p w14:paraId="7313F253">
      <w:pPr>
        <w:pStyle w:val="6"/>
        <w:rPr>
          <w:rFonts w:hint="eastAsia"/>
          <w:color w:val="auto"/>
        </w:rPr>
      </w:pPr>
      <w:r>
        <w:rPr>
          <w:color w:val="auto"/>
        </w:rPr>
        <w:t>网关切换与VIP管理</w:t>
      </w:r>
    </w:p>
    <w:p w14:paraId="5F4449F2">
      <w:pPr>
        <w:pStyle w:val="42"/>
        <w:jc w:val="both"/>
        <w:rPr>
          <w:rFonts w:hint="eastAsia"/>
          <w:color w:val="auto"/>
        </w:rPr>
      </w:pPr>
      <w:r>
        <w:rPr>
          <w:color w:val="auto"/>
          <w:szCs w:val="22"/>
        </w:rPr>
        <w:t>网关切换是业务无感知的技术保障核心。具体实现：</w:t>
      </w:r>
    </w:p>
    <w:p w14:paraId="59D5A30D">
      <w:pPr>
        <w:pStyle w:val="35"/>
        <w:widowControl/>
        <w:numPr>
          <w:ilvl w:val="0"/>
          <w:numId w:val="5"/>
        </w:numPr>
        <w:ind w:left="840" w:hanging="420"/>
        <w:contextualSpacing w:val="0"/>
        <w:rPr>
          <w:rFonts w:hint="eastAsia"/>
          <w:color w:val="auto"/>
        </w:rPr>
      </w:pPr>
      <w:r>
        <w:rPr>
          <w:rFonts w:ascii="仿宋" w:hAnsi="仿宋" w:cs="仿宋"/>
          <w:color w:val="auto"/>
          <w:szCs w:val="22"/>
        </w:rPr>
        <w:t>部署新版API网关（兼容原有接口配置），通过Nginx upstream权重控制新旧集群流量比例</w:t>
      </w:r>
    </w:p>
    <w:p w14:paraId="73DD1744">
      <w:pPr>
        <w:pStyle w:val="35"/>
        <w:widowControl/>
        <w:numPr>
          <w:ilvl w:val="0"/>
          <w:numId w:val="5"/>
        </w:numPr>
        <w:ind w:left="840" w:hanging="420"/>
        <w:contextualSpacing w:val="0"/>
        <w:rPr>
          <w:rFonts w:hint="eastAsia"/>
          <w:color w:val="auto"/>
        </w:rPr>
      </w:pPr>
      <w:r>
        <w:rPr>
          <w:rFonts w:ascii="仿宋" w:hAnsi="仿宋" w:cs="仿宋"/>
          <w:color w:val="auto"/>
          <w:szCs w:val="22"/>
        </w:rPr>
        <w:t>VIP由Keepalived管理，主备集群各持有一个VIP，通过DNS切换控制业务接入方向</w:t>
      </w:r>
    </w:p>
    <w:p w14:paraId="03D27AFA">
      <w:pPr>
        <w:pStyle w:val="35"/>
        <w:widowControl/>
        <w:numPr>
          <w:ilvl w:val="0"/>
          <w:numId w:val="5"/>
        </w:numPr>
        <w:ind w:left="840" w:hanging="420"/>
        <w:contextualSpacing w:val="0"/>
        <w:rPr>
          <w:rFonts w:hint="eastAsia"/>
          <w:color w:val="auto"/>
        </w:rPr>
      </w:pPr>
      <w:r>
        <w:rPr>
          <w:rFonts w:ascii="仿宋" w:hAnsi="仿宋" w:cs="仿宋"/>
          <w:color w:val="auto"/>
          <w:szCs w:val="22"/>
        </w:rPr>
        <w:t>所有VIP切换操作须提前24小时通知相关业务系统负责人，并在操作前确认夜间批处理无异常任务</w:t>
      </w:r>
    </w:p>
    <w:p w14:paraId="3CC47242">
      <w:pPr>
        <w:pStyle w:val="6"/>
        <w:rPr>
          <w:rFonts w:hint="eastAsia"/>
          <w:color w:val="auto"/>
        </w:rPr>
      </w:pPr>
      <w:r>
        <w:rPr>
          <w:color w:val="auto"/>
        </w:rPr>
        <w:t>灰度观测指标</w:t>
      </w:r>
    </w:p>
    <w:p w14:paraId="5760129C">
      <w:pPr>
        <w:pStyle w:val="42"/>
        <w:jc w:val="both"/>
        <w:rPr>
          <w:rFonts w:hint="eastAsia"/>
          <w:color w:val="auto"/>
        </w:rPr>
      </w:pPr>
      <w:r>
        <w:rPr>
          <w:color w:val="auto"/>
          <w:szCs w:val="22"/>
        </w:rPr>
        <w:t>灰度期间重点监控以下指标，任一指标超过阈值立即暂停灰度并评估回退：</w:t>
      </w:r>
    </w:p>
    <w:p w14:paraId="1BB6D333">
      <w:pPr>
        <w:pStyle w:val="35"/>
        <w:widowControl/>
        <w:numPr>
          <w:ilvl w:val="0"/>
          <w:numId w:val="5"/>
        </w:numPr>
        <w:ind w:left="840" w:hanging="420"/>
        <w:contextualSpacing w:val="0"/>
        <w:rPr>
          <w:rFonts w:hint="eastAsia"/>
          <w:color w:val="auto"/>
        </w:rPr>
      </w:pPr>
      <w:r>
        <w:rPr>
          <w:rFonts w:ascii="仿宋" w:hAnsi="仿宋" w:cs="仿宋"/>
          <w:color w:val="auto"/>
          <w:szCs w:val="22"/>
        </w:rPr>
        <w:t>查询错误率：新集群 &gt; 旧集群1.5倍 → 告警；&gt; 旧集群3倍 → 自动回退</w:t>
      </w:r>
    </w:p>
    <w:p w14:paraId="4FD10DEA">
      <w:pPr>
        <w:pStyle w:val="35"/>
        <w:widowControl/>
        <w:numPr>
          <w:ilvl w:val="0"/>
          <w:numId w:val="5"/>
        </w:numPr>
        <w:ind w:left="840" w:hanging="420"/>
        <w:contextualSpacing w:val="0"/>
        <w:rPr>
          <w:rFonts w:hint="eastAsia"/>
          <w:color w:val="auto"/>
        </w:rPr>
      </w:pPr>
      <w:r>
        <w:rPr>
          <w:rFonts w:ascii="仿宋" w:hAnsi="仿宋" w:cs="仿宋"/>
          <w:color w:val="auto"/>
          <w:szCs w:val="22"/>
        </w:rPr>
        <w:t>查询P99延迟：新集群 &gt; 旧集群2倍 → 告警；&gt; 旧集群5倍 → 自动回退</w:t>
      </w:r>
    </w:p>
    <w:p w14:paraId="220FA14D">
      <w:pPr>
        <w:pStyle w:val="35"/>
        <w:widowControl/>
        <w:numPr>
          <w:ilvl w:val="0"/>
          <w:numId w:val="5"/>
        </w:numPr>
        <w:ind w:left="840" w:hanging="420"/>
        <w:contextualSpacing w:val="0"/>
        <w:rPr>
          <w:rFonts w:hint="eastAsia"/>
          <w:color w:val="auto"/>
        </w:rPr>
      </w:pPr>
      <w:r>
        <w:rPr>
          <w:rFonts w:ascii="仿宋" w:hAnsi="仿宋" w:cs="仿宋"/>
          <w:color w:val="auto"/>
          <w:szCs w:val="22"/>
        </w:rPr>
        <w:t>数据不一致告警：新旧集群查询结果差异 &gt; 0 → 立即停止切换并调查</w:t>
      </w:r>
    </w:p>
    <w:p w14:paraId="4CABD1E7">
      <w:pPr>
        <w:pStyle w:val="35"/>
        <w:widowControl/>
        <w:numPr>
          <w:ilvl w:val="0"/>
          <w:numId w:val="5"/>
        </w:numPr>
        <w:ind w:left="840" w:hanging="420"/>
        <w:contextualSpacing w:val="0"/>
        <w:rPr>
          <w:rFonts w:hint="eastAsia"/>
          <w:color w:val="auto"/>
        </w:rPr>
      </w:pPr>
      <w:r>
        <w:rPr>
          <w:rFonts w:ascii="仿宋" w:hAnsi="仿宋" w:cs="仿宋"/>
          <w:color w:val="auto"/>
          <w:szCs w:val="22"/>
        </w:rPr>
        <w:t>夜间批处理完成率：任意作业失败 → 立即告警并人工评估</w:t>
      </w:r>
    </w:p>
    <w:p w14:paraId="76A056F8">
      <w:pPr>
        <w:pStyle w:val="5"/>
        <w:rPr>
          <w:rFonts w:hint="eastAsia"/>
          <w:color w:val="auto"/>
        </w:rPr>
      </w:pPr>
      <w:r>
        <w:rPr>
          <w:color w:val="auto"/>
        </w:rPr>
        <w:t>回退方案</w:t>
      </w:r>
    </w:p>
    <w:p w14:paraId="00354FF3">
      <w:pPr>
        <w:pStyle w:val="6"/>
        <w:rPr>
          <w:rFonts w:hint="eastAsia"/>
          <w:color w:val="auto"/>
        </w:rPr>
      </w:pPr>
      <w:r>
        <w:rPr>
          <w:color w:val="auto"/>
        </w:rPr>
        <w:t>回退原则</w:t>
      </w:r>
    </w:p>
    <w:p w14:paraId="1848C777">
      <w:pPr>
        <w:pStyle w:val="42"/>
        <w:jc w:val="both"/>
        <w:rPr>
          <w:rFonts w:hint="eastAsia"/>
          <w:color w:val="auto"/>
        </w:rPr>
      </w:pPr>
      <w:r>
        <w:rPr>
          <w:color w:val="auto"/>
          <w:szCs w:val="22"/>
        </w:rPr>
        <w:t>回退方案设计遵循快速、可靠、完整三大原则：快速指任意阶段可在4小时内完成回退；可靠指回退操作本身不引入新的故障；完整指回退后系统状态与迁移前完全一致，无数据丢失。</w:t>
      </w:r>
    </w:p>
    <w:p w14:paraId="3B18DDD3">
      <w:pPr>
        <w:pStyle w:val="6"/>
        <w:rPr>
          <w:rFonts w:hint="eastAsia"/>
          <w:color w:val="auto"/>
        </w:rPr>
      </w:pPr>
      <w:r>
        <w:rPr>
          <w:color w:val="auto"/>
        </w:rPr>
        <w:t>各阶段回退策略</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0"/>
        <w:gridCol w:w="1821"/>
        <w:gridCol w:w="2003"/>
        <w:gridCol w:w="1420"/>
        <w:gridCol w:w="1458"/>
      </w:tblGrid>
      <w:tr w14:paraId="7A7DECEC">
        <w:tc>
          <w:tcPr>
            <w:tcW w:w="1068" w:type="pct"/>
          </w:tcPr>
          <w:p w14:paraId="4402B556">
            <w:pPr>
              <w:pStyle w:val="43"/>
              <w:jc w:val="center"/>
              <w:rPr>
                <w:rFonts w:ascii="仿宋" w:hAnsi="仿宋" w:eastAsia="仿宋"/>
                <w:b/>
                <w:color w:val="auto"/>
                <w:sz w:val="24"/>
              </w:rPr>
            </w:pPr>
            <w:r>
              <w:rPr>
                <w:rFonts w:ascii="仿宋" w:hAnsi="仿宋" w:eastAsia="仿宋"/>
                <w:b/>
                <w:color w:val="auto"/>
                <w:sz w:val="24"/>
              </w:rPr>
              <w:t>迁移阶段</w:t>
            </w:r>
          </w:p>
        </w:tc>
        <w:tc>
          <w:tcPr>
            <w:tcW w:w="1068" w:type="pct"/>
          </w:tcPr>
          <w:p w14:paraId="36F36D73">
            <w:pPr>
              <w:pStyle w:val="43"/>
              <w:jc w:val="center"/>
              <w:rPr>
                <w:rFonts w:ascii="仿宋" w:hAnsi="仿宋" w:eastAsia="仿宋"/>
                <w:b/>
                <w:color w:val="auto"/>
                <w:sz w:val="24"/>
              </w:rPr>
            </w:pPr>
            <w:r>
              <w:rPr>
                <w:rFonts w:ascii="仿宋" w:hAnsi="仿宋" w:eastAsia="仿宋"/>
                <w:b/>
                <w:color w:val="auto"/>
                <w:sz w:val="24"/>
              </w:rPr>
              <w:t>触发回退条件</w:t>
            </w:r>
          </w:p>
        </w:tc>
        <w:tc>
          <w:tcPr>
            <w:tcW w:w="1175" w:type="pct"/>
          </w:tcPr>
          <w:p w14:paraId="33BA9A03">
            <w:pPr>
              <w:pStyle w:val="43"/>
              <w:jc w:val="center"/>
              <w:rPr>
                <w:rFonts w:ascii="仿宋" w:hAnsi="仿宋" w:eastAsia="仿宋"/>
                <w:b/>
                <w:color w:val="auto"/>
                <w:sz w:val="24"/>
              </w:rPr>
            </w:pPr>
            <w:r>
              <w:rPr>
                <w:rFonts w:ascii="仿宋" w:hAnsi="仿宋" w:eastAsia="仿宋"/>
                <w:b/>
                <w:color w:val="auto"/>
                <w:sz w:val="24"/>
              </w:rPr>
              <w:t>回退操作</w:t>
            </w:r>
          </w:p>
        </w:tc>
        <w:tc>
          <w:tcPr>
            <w:tcW w:w="833" w:type="pct"/>
          </w:tcPr>
          <w:p w14:paraId="18B338A3">
            <w:pPr>
              <w:pStyle w:val="43"/>
              <w:jc w:val="center"/>
              <w:rPr>
                <w:rFonts w:ascii="仿宋" w:hAnsi="仿宋" w:eastAsia="仿宋"/>
                <w:b/>
                <w:color w:val="auto"/>
                <w:sz w:val="24"/>
              </w:rPr>
            </w:pPr>
            <w:r>
              <w:rPr>
                <w:rFonts w:ascii="仿宋" w:hAnsi="仿宋" w:eastAsia="仿宋"/>
                <w:b/>
                <w:color w:val="auto"/>
                <w:sz w:val="24"/>
              </w:rPr>
              <w:t>预计回退时间</w:t>
            </w:r>
          </w:p>
        </w:tc>
        <w:tc>
          <w:tcPr>
            <w:tcW w:w="855" w:type="pct"/>
          </w:tcPr>
          <w:p w14:paraId="2E908CFF">
            <w:pPr>
              <w:pStyle w:val="43"/>
              <w:jc w:val="center"/>
              <w:rPr>
                <w:rFonts w:ascii="仿宋" w:hAnsi="仿宋" w:eastAsia="仿宋"/>
                <w:b/>
                <w:color w:val="auto"/>
                <w:sz w:val="24"/>
              </w:rPr>
            </w:pPr>
            <w:r>
              <w:rPr>
                <w:rFonts w:ascii="仿宋" w:hAnsi="仿宋" w:eastAsia="仿宋"/>
                <w:b/>
                <w:color w:val="auto"/>
                <w:sz w:val="24"/>
              </w:rPr>
              <w:t>回退风险</w:t>
            </w:r>
          </w:p>
        </w:tc>
      </w:tr>
      <w:tr w14:paraId="6820C116">
        <w:tc>
          <w:tcPr>
            <w:tcW w:w="1068" w:type="pct"/>
          </w:tcPr>
          <w:p w14:paraId="4BF71537">
            <w:pPr>
              <w:pStyle w:val="43"/>
              <w:rPr>
                <w:rFonts w:ascii="仿宋" w:hAnsi="仿宋" w:eastAsia="仿宋"/>
                <w:color w:val="auto"/>
                <w:sz w:val="24"/>
              </w:rPr>
            </w:pPr>
            <w:r>
              <w:rPr>
                <w:rFonts w:ascii="仿宋" w:hAnsi="仿宋" w:eastAsia="仿宋"/>
                <w:color w:val="auto"/>
                <w:sz w:val="24"/>
              </w:rPr>
              <w:t>第一阶段（环境建设）</w:t>
            </w:r>
          </w:p>
        </w:tc>
        <w:tc>
          <w:tcPr>
            <w:tcW w:w="1068" w:type="pct"/>
          </w:tcPr>
          <w:p w14:paraId="60F5C601">
            <w:pPr>
              <w:pStyle w:val="43"/>
              <w:rPr>
                <w:rFonts w:ascii="仿宋" w:hAnsi="仿宋" w:eastAsia="仿宋"/>
                <w:color w:val="auto"/>
                <w:sz w:val="24"/>
              </w:rPr>
            </w:pPr>
            <w:r>
              <w:rPr>
                <w:rFonts w:ascii="仿宋" w:hAnsi="仿宋" w:eastAsia="仿宋"/>
                <w:color w:val="auto"/>
                <w:sz w:val="24"/>
              </w:rPr>
              <w:t>新集群部署失败</w:t>
            </w:r>
          </w:p>
        </w:tc>
        <w:tc>
          <w:tcPr>
            <w:tcW w:w="1175" w:type="pct"/>
          </w:tcPr>
          <w:p w14:paraId="4FBA0B33">
            <w:pPr>
              <w:pStyle w:val="43"/>
              <w:rPr>
                <w:rFonts w:ascii="仿宋" w:hAnsi="仿宋" w:eastAsia="仿宋"/>
                <w:color w:val="auto"/>
                <w:sz w:val="24"/>
              </w:rPr>
            </w:pPr>
            <w:r>
              <w:rPr>
                <w:rFonts w:ascii="仿宋" w:hAnsi="仿宋" w:eastAsia="仿宋"/>
                <w:color w:val="auto"/>
                <w:sz w:val="24"/>
              </w:rPr>
              <w:t>停止新集群，保留旧集群运行</w:t>
            </w:r>
          </w:p>
        </w:tc>
        <w:tc>
          <w:tcPr>
            <w:tcW w:w="833" w:type="pct"/>
          </w:tcPr>
          <w:p w14:paraId="2F4C8084">
            <w:pPr>
              <w:pStyle w:val="43"/>
              <w:rPr>
                <w:rFonts w:ascii="仿宋" w:hAnsi="仿宋" w:eastAsia="仿宋"/>
                <w:color w:val="auto"/>
                <w:sz w:val="24"/>
              </w:rPr>
            </w:pPr>
            <w:r>
              <w:rPr>
                <w:rFonts w:ascii="仿宋" w:hAnsi="仿宋" w:eastAsia="仿宋"/>
                <w:color w:val="auto"/>
                <w:sz w:val="24"/>
              </w:rPr>
              <w:t>&lt;1小时</w:t>
            </w:r>
          </w:p>
        </w:tc>
        <w:tc>
          <w:tcPr>
            <w:tcW w:w="855" w:type="pct"/>
          </w:tcPr>
          <w:p w14:paraId="24EB0B64">
            <w:pPr>
              <w:pStyle w:val="43"/>
              <w:rPr>
                <w:rFonts w:ascii="仿宋" w:hAnsi="仿宋" w:eastAsia="仿宋"/>
                <w:color w:val="auto"/>
                <w:sz w:val="24"/>
              </w:rPr>
            </w:pPr>
            <w:r>
              <w:rPr>
                <w:rFonts w:ascii="仿宋" w:hAnsi="仿宋" w:eastAsia="仿宋"/>
                <w:color w:val="auto"/>
                <w:sz w:val="24"/>
              </w:rPr>
              <w:t>极低</w:t>
            </w:r>
          </w:p>
        </w:tc>
      </w:tr>
      <w:tr w14:paraId="2DD8A00D">
        <w:tc>
          <w:tcPr>
            <w:tcW w:w="1068" w:type="pct"/>
          </w:tcPr>
          <w:p w14:paraId="4B9C46F4">
            <w:pPr>
              <w:pStyle w:val="43"/>
              <w:rPr>
                <w:rFonts w:ascii="仿宋" w:hAnsi="仿宋" w:eastAsia="仿宋"/>
                <w:color w:val="auto"/>
                <w:sz w:val="24"/>
              </w:rPr>
            </w:pPr>
            <w:r>
              <w:rPr>
                <w:rFonts w:ascii="仿宋" w:hAnsi="仿宋" w:eastAsia="仿宋"/>
                <w:color w:val="auto"/>
                <w:sz w:val="24"/>
              </w:rPr>
              <w:t>第二阶段（双集群并行）</w:t>
            </w:r>
          </w:p>
        </w:tc>
        <w:tc>
          <w:tcPr>
            <w:tcW w:w="1068" w:type="pct"/>
          </w:tcPr>
          <w:p w14:paraId="455ACFF0">
            <w:pPr>
              <w:pStyle w:val="43"/>
              <w:rPr>
                <w:rFonts w:ascii="仿宋" w:hAnsi="仿宋" w:eastAsia="仿宋"/>
                <w:color w:val="auto"/>
                <w:sz w:val="24"/>
              </w:rPr>
            </w:pPr>
            <w:r>
              <w:rPr>
                <w:rFonts w:ascii="仿宋" w:hAnsi="仿宋" w:eastAsia="仿宋"/>
                <w:color w:val="auto"/>
                <w:sz w:val="24"/>
              </w:rPr>
              <w:t>数据同步异常/计算结果不一致</w:t>
            </w:r>
          </w:p>
        </w:tc>
        <w:tc>
          <w:tcPr>
            <w:tcW w:w="1175" w:type="pct"/>
          </w:tcPr>
          <w:p w14:paraId="47E80719">
            <w:pPr>
              <w:pStyle w:val="43"/>
              <w:rPr>
                <w:rFonts w:ascii="仿宋" w:hAnsi="仿宋" w:eastAsia="仿宋"/>
                <w:color w:val="auto"/>
                <w:sz w:val="24"/>
              </w:rPr>
            </w:pPr>
            <w:r>
              <w:rPr>
                <w:rFonts w:ascii="仿宋" w:hAnsi="仿宋" w:eastAsia="仿宋"/>
                <w:color w:val="auto"/>
                <w:sz w:val="24"/>
              </w:rPr>
              <w:t>停止同步通道，隔离新集群</w:t>
            </w:r>
          </w:p>
        </w:tc>
        <w:tc>
          <w:tcPr>
            <w:tcW w:w="833" w:type="pct"/>
          </w:tcPr>
          <w:p w14:paraId="2B652CEA">
            <w:pPr>
              <w:pStyle w:val="43"/>
              <w:rPr>
                <w:rFonts w:ascii="仿宋" w:hAnsi="仿宋" w:eastAsia="仿宋"/>
                <w:color w:val="auto"/>
                <w:sz w:val="24"/>
              </w:rPr>
            </w:pPr>
            <w:r>
              <w:rPr>
                <w:rFonts w:ascii="仿宋" w:hAnsi="仿宋" w:eastAsia="仿宋"/>
                <w:color w:val="auto"/>
                <w:sz w:val="24"/>
              </w:rPr>
              <w:t>&lt;2小时</w:t>
            </w:r>
          </w:p>
        </w:tc>
        <w:tc>
          <w:tcPr>
            <w:tcW w:w="855" w:type="pct"/>
          </w:tcPr>
          <w:p w14:paraId="6378D6E3">
            <w:pPr>
              <w:pStyle w:val="43"/>
              <w:rPr>
                <w:rFonts w:ascii="仿宋" w:hAnsi="仿宋" w:eastAsia="仿宋"/>
                <w:color w:val="auto"/>
                <w:sz w:val="24"/>
              </w:rPr>
            </w:pPr>
            <w:r>
              <w:rPr>
                <w:rFonts w:ascii="仿宋" w:hAnsi="仿宋" w:eastAsia="仿宋"/>
                <w:color w:val="auto"/>
                <w:sz w:val="24"/>
              </w:rPr>
              <w:t>低</w:t>
            </w:r>
          </w:p>
        </w:tc>
      </w:tr>
      <w:tr w14:paraId="681A075E">
        <w:tc>
          <w:tcPr>
            <w:tcW w:w="1068" w:type="pct"/>
          </w:tcPr>
          <w:p w14:paraId="6A80E78A">
            <w:pPr>
              <w:pStyle w:val="43"/>
              <w:rPr>
                <w:rFonts w:ascii="仿宋" w:hAnsi="仿宋" w:eastAsia="仿宋"/>
                <w:color w:val="auto"/>
                <w:sz w:val="24"/>
              </w:rPr>
            </w:pPr>
            <w:r>
              <w:rPr>
                <w:rFonts w:ascii="仿宋" w:hAnsi="仿宋" w:eastAsia="仿宋"/>
                <w:color w:val="auto"/>
                <w:sz w:val="24"/>
              </w:rPr>
              <w:t>第三阶段（数据迁移）</w:t>
            </w:r>
          </w:p>
        </w:tc>
        <w:tc>
          <w:tcPr>
            <w:tcW w:w="1068" w:type="pct"/>
          </w:tcPr>
          <w:p w14:paraId="6E3F8AA6">
            <w:pPr>
              <w:pStyle w:val="43"/>
              <w:rPr>
                <w:rFonts w:ascii="仿宋" w:hAnsi="仿宋" w:eastAsia="仿宋"/>
                <w:color w:val="auto"/>
                <w:sz w:val="24"/>
              </w:rPr>
            </w:pPr>
            <w:r>
              <w:rPr>
                <w:rFonts w:ascii="仿宋" w:hAnsi="仿宋" w:eastAsia="仿宋"/>
                <w:color w:val="auto"/>
                <w:sz w:val="24"/>
              </w:rPr>
              <w:t>数据校验失败/迁移超时</w:t>
            </w:r>
          </w:p>
        </w:tc>
        <w:tc>
          <w:tcPr>
            <w:tcW w:w="1175" w:type="pct"/>
          </w:tcPr>
          <w:p w14:paraId="16B6E344">
            <w:pPr>
              <w:pStyle w:val="43"/>
              <w:rPr>
                <w:rFonts w:ascii="仿宋" w:hAnsi="仿宋" w:eastAsia="仿宋"/>
                <w:color w:val="auto"/>
                <w:sz w:val="24"/>
              </w:rPr>
            </w:pPr>
            <w:r>
              <w:rPr>
                <w:rFonts w:ascii="仿宋" w:hAnsi="仿宋" w:eastAsia="仿宋"/>
                <w:color w:val="auto"/>
                <w:sz w:val="24"/>
              </w:rPr>
              <w:t>回退数据同步，保留旧集群为主</w:t>
            </w:r>
          </w:p>
        </w:tc>
        <w:tc>
          <w:tcPr>
            <w:tcW w:w="833" w:type="pct"/>
          </w:tcPr>
          <w:p w14:paraId="01395CFB">
            <w:pPr>
              <w:pStyle w:val="43"/>
              <w:rPr>
                <w:rFonts w:ascii="仿宋" w:hAnsi="仿宋" w:eastAsia="仿宋"/>
                <w:color w:val="auto"/>
                <w:sz w:val="24"/>
              </w:rPr>
            </w:pPr>
            <w:r>
              <w:rPr>
                <w:rFonts w:ascii="仿宋" w:hAnsi="仿宋" w:eastAsia="仿宋"/>
                <w:color w:val="auto"/>
                <w:sz w:val="24"/>
              </w:rPr>
              <w:t>&lt;2小时</w:t>
            </w:r>
          </w:p>
        </w:tc>
        <w:tc>
          <w:tcPr>
            <w:tcW w:w="855" w:type="pct"/>
          </w:tcPr>
          <w:p w14:paraId="10B0C248">
            <w:pPr>
              <w:pStyle w:val="43"/>
              <w:rPr>
                <w:rFonts w:ascii="仿宋" w:hAnsi="仿宋" w:eastAsia="仿宋"/>
                <w:color w:val="auto"/>
                <w:sz w:val="24"/>
              </w:rPr>
            </w:pPr>
            <w:r>
              <w:rPr>
                <w:rFonts w:ascii="仿宋" w:hAnsi="仿宋" w:eastAsia="仿宋"/>
                <w:color w:val="auto"/>
                <w:sz w:val="24"/>
              </w:rPr>
              <w:t>低</w:t>
            </w:r>
          </w:p>
        </w:tc>
      </w:tr>
      <w:tr w14:paraId="0BC02A09">
        <w:tc>
          <w:tcPr>
            <w:tcW w:w="1068" w:type="pct"/>
          </w:tcPr>
          <w:p w14:paraId="499983DE">
            <w:pPr>
              <w:pStyle w:val="43"/>
              <w:rPr>
                <w:rFonts w:ascii="仿宋" w:hAnsi="仿宋" w:eastAsia="仿宋"/>
                <w:color w:val="auto"/>
                <w:sz w:val="24"/>
              </w:rPr>
            </w:pPr>
            <w:r>
              <w:rPr>
                <w:rFonts w:ascii="仿宋" w:hAnsi="仿宋" w:eastAsia="仿宋"/>
                <w:color w:val="auto"/>
                <w:sz w:val="24"/>
              </w:rPr>
              <w:t>第四阶段（灰度切换）</w:t>
            </w:r>
          </w:p>
        </w:tc>
        <w:tc>
          <w:tcPr>
            <w:tcW w:w="1068" w:type="pct"/>
          </w:tcPr>
          <w:p w14:paraId="2164AE39">
            <w:pPr>
              <w:pStyle w:val="43"/>
              <w:rPr>
                <w:rFonts w:ascii="仿宋" w:hAnsi="仿宋" w:eastAsia="仿宋"/>
                <w:color w:val="auto"/>
                <w:sz w:val="24"/>
              </w:rPr>
            </w:pPr>
            <w:r>
              <w:rPr>
                <w:rFonts w:ascii="仿宋" w:hAnsi="仿宋" w:eastAsia="仿宋"/>
                <w:color w:val="auto"/>
                <w:sz w:val="24"/>
              </w:rPr>
              <w:t>新集群错误率超阈值/性能劣化</w:t>
            </w:r>
          </w:p>
        </w:tc>
        <w:tc>
          <w:tcPr>
            <w:tcW w:w="1175" w:type="pct"/>
          </w:tcPr>
          <w:p w14:paraId="2E7C7AA1">
            <w:pPr>
              <w:pStyle w:val="43"/>
              <w:rPr>
                <w:rFonts w:ascii="仿宋" w:hAnsi="仿宋" w:eastAsia="仿宋"/>
                <w:color w:val="auto"/>
                <w:sz w:val="24"/>
              </w:rPr>
            </w:pPr>
            <w:r>
              <w:rPr>
                <w:rFonts w:ascii="仿宋" w:hAnsi="仿宋" w:eastAsia="仿宋"/>
                <w:color w:val="auto"/>
                <w:sz w:val="24"/>
              </w:rPr>
              <w:t>流量100%切回旧集群（网关级回退）</w:t>
            </w:r>
          </w:p>
        </w:tc>
        <w:tc>
          <w:tcPr>
            <w:tcW w:w="833" w:type="pct"/>
          </w:tcPr>
          <w:p w14:paraId="7879359F">
            <w:pPr>
              <w:pStyle w:val="43"/>
              <w:rPr>
                <w:rFonts w:ascii="仿宋" w:hAnsi="仿宋" w:eastAsia="仿宋"/>
                <w:color w:val="auto"/>
                <w:sz w:val="24"/>
              </w:rPr>
            </w:pPr>
            <w:r>
              <w:rPr>
                <w:rFonts w:ascii="仿宋" w:hAnsi="仿宋" w:eastAsia="仿宋"/>
                <w:color w:val="auto"/>
                <w:sz w:val="24"/>
              </w:rPr>
              <w:t>&lt;30分钟</w:t>
            </w:r>
          </w:p>
        </w:tc>
        <w:tc>
          <w:tcPr>
            <w:tcW w:w="855" w:type="pct"/>
          </w:tcPr>
          <w:p w14:paraId="5D0B0B5F">
            <w:pPr>
              <w:pStyle w:val="43"/>
              <w:rPr>
                <w:rFonts w:ascii="仿宋" w:hAnsi="仿宋" w:eastAsia="仿宋"/>
                <w:color w:val="auto"/>
                <w:sz w:val="24"/>
              </w:rPr>
            </w:pPr>
            <w:r>
              <w:rPr>
                <w:rFonts w:ascii="仿宋" w:hAnsi="仿宋" w:eastAsia="仿宋"/>
                <w:color w:val="auto"/>
                <w:sz w:val="24"/>
              </w:rPr>
              <w:t>低</w:t>
            </w:r>
          </w:p>
        </w:tc>
      </w:tr>
      <w:tr w14:paraId="650F7434">
        <w:tc>
          <w:tcPr>
            <w:tcW w:w="1068" w:type="pct"/>
          </w:tcPr>
          <w:p w14:paraId="66194BAC">
            <w:pPr>
              <w:pStyle w:val="43"/>
              <w:rPr>
                <w:rFonts w:ascii="仿宋" w:hAnsi="仿宋" w:eastAsia="仿宋"/>
                <w:color w:val="auto"/>
                <w:sz w:val="24"/>
              </w:rPr>
            </w:pPr>
            <w:r>
              <w:rPr>
                <w:rFonts w:ascii="仿宋" w:hAnsi="仿宋" w:eastAsia="仿宋"/>
                <w:color w:val="auto"/>
                <w:sz w:val="24"/>
              </w:rPr>
              <w:t>第五阶段（全量切换）</w:t>
            </w:r>
          </w:p>
        </w:tc>
        <w:tc>
          <w:tcPr>
            <w:tcW w:w="1068" w:type="pct"/>
          </w:tcPr>
          <w:p w14:paraId="7378EC5C">
            <w:pPr>
              <w:pStyle w:val="43"/>
              <w:rPr>
                <w:rFonts w:ascii="仿宋" w:hAnsi="仿宋" w:eastAsia="仿宋"/>
                <w:color w:val="auto"/>
                <w:sz w:val="24"/>
              </w:rPr>
            </w:pPr>
            <w:r>
              <w:rPr>
                <w:rFonts w:ascii="仿宋" w:hAnsi="仿宋" w:eastAsia="仿宋"/>
                <w:color w:val="auto"/>
                <w:sz w:val="24"/>
              </w:rPr>
              <w:t>全量切换后出现严重故障</w:t>
            </w:r>
          </w:p>
        </w:tc>
        <w:tc>
          <w:tcPr>
            <w:tcW w:w="1175" w:type="pct"/>
          </w:tcPr>
          <w:p w14:paraId="01106E53">
            <w:pPr>
              <w:pStyle w:val="43"/>
              <w:rPr>
                <w:rFonts w:ascii="仿宋" w:hAnsi="仿宋" w:eastAsia="仿宋"/>
                <w:color w:val="auto"/>
                <w:sz w:val="24"/>
              </w:rPr>
            </w:pPr>
            <w:r>
              <w:rPr>
                <w:rFonts w:ascii="仿宋" w:hAnsi="仿宋" w:eastAsia="仿宋"/>
                <w:color w:val="auto"/>
                <w:sz w:val="24"/>
              </w:rPr>
              <w:t>VIP切回旧集群，旧集群重新承接流量</w:t>
            </w:r>
          </w:p>
        </w:tc>
        <w:tc>
          <w:tcPr>
            <w:tcW w:w="833" w:type="pct"/>
          </w:tcPr>
          <w:p w14:paraId="6E652504">
            <w:pPr>
              <w:pStyle w:val="43"/>
              <w:rPr>
                <w:rFonts w:ascii="仿宋" w:hAnsi="仿宋" w:eastAsia="仿宋"/>
                <w:color w:val="auto"/>
                <w:sz w:val="24"/>
              </w:rPr>
            </w:pPr>
            <w:r>
              <w:rPr>
                <w:rFonts w:ascii="仿宋" w:hAnsi="仿宋" w:eastAsia="仿宋"/>
                <w:color w:val="auto"/>
                <w:sz w:val="24"/>
              </w:rPr>
              <w:t>&lt;1小时</w:t>
            </w:r>
          </w:p>
        </w:tc>
        <w:tc>
          <w:tcPr>
            <w:tcW w:w="855" w:type="pct"/>
          </w:tcPr>
          <w:p w14:paraId="3949F381">
            <w:pPr>
              <w:pStyle w:val="43"/>
              <w:rPr>
                <w:rFonts w:ascii="仿宋" w:hAnsi="仿宋" w:eastAsia="仿宋"/>
                <w:color w:val="auto"/>
                <w:sz w:val="24"/>
              </w:rPr>
            </w:pPr>
            <w:r>
              <w:rPr>
                <w:rFonts w:ascii="仿宋" w:hAnsi="仿宋" w:eastAsia="仿宋"/>
                <w:color w:val="auto"/>
                <w:sz w:val="24"/>
              </w:rPr>
              <w:t>中</w:t>
            </w:r>
          </w:p>
        </w:tc>
      </w:tr>
      <w:tr w14:paraId="12DCC3BD">
        <w:tc>
          <w:tcPr>
            <w:tcW w:w="1068" w:type="pct"/>
          </w:tcPr>
          <w:p w14:paraId="1CE9CEA7">
            <w:pPr>
              <w:pStyle w:val="43"/>
              <w:rPr>
                <w:rFonts w:ascii="仿宋" w:hAnsi="仿宋" w:eastAsia="仿宋"/>
                <w:color w:val="auto"/>
                <w:sz w:val="24"/>
              </w:rPr>
            </w:pPr>
            <w:r>
              <w:rPr>
                <w:rFonts w:ascii="仿宋" w:hAnsi="仿宋" w:eastAsia="仿宋"/>
                <w:color w:val="auto"/>
                <w:sz w:val="24"/>
              </w:rPr>
              <w:t>第六阶段（旧集群下线）</w:t>
            </w:r>
          </w:p>
        </w:tc>
        <w:tc>
          <w:tcPr>
            <w:tcW w:w="1068" w:type="pct"/>
          </w:tcPr>
          <w:p w14:paraId="50A99563">
            <w:pPr>
              <w:pStyle w:val="43"/>
              <w:rPr>
                <w:rFonts w:ascii="仿宋" w:hAnsi="仿宋" w:eastAsia="仿宋"/>
                <w:color w:val="auto"/>
                <w:sz w:val="24"/>
              </w:rPr>
            </w:pPr>
            <w:r>
              <w:rPr>
                <w:rFonts w:ascii="仿宋" w:hAnsi="仿宋" w:eastAsia="仿宋"/>
                <w:color w:val="auto"/>
                <w:sz w:val="24"/>
              </w:rPr>
              <w:t>新集群严重故障</w:t>
            </w:r>
          </w:p>
        </w:tc>
        <w:tc>
          <w:tcPr>
            <w:tcW w:w="1175" w:type="pct"/>
          </w:tcPr>
          <w:p w14:paraId="14D4E410">
            <w:pPr>
              <w:pStyle w:val="43"/>
              <w:rPr>
                <w:rFonts w:ascii="仿宋" w:hAnsi="仿宋" w:eastAsia="仿宋"/>
                <w:color w:val="auto"/>
                <w:sz w:val="24"/>
              </w:rPr>
            </w:pPr>
            <w:r>
              <w:rPr>
                <w:rFonts w:ascii="仿宋" w:hAnsi="仿宋" w:eastAsia="仿宋"/>
                <w:color w:val="auto"/>
                <w:sz w:val="24"/>
              </w:rPr>
              <w:t>紧急重启旧集群节点，数据从备份恢复</w:t>
            </w:r>
          </w:p>
        </w:tc>
        <w:tc>
          <w:tcPr>
            <w:tcW w:w="833" w:type="pct"/>
          </w:tcPr>
          <w:p w14:paraId="463DFF45">
            <w:pPr>
              <w:pStyle w:val="43"/>
              <w:rPr>
                <w:rFonts w:ascii="仿宋" w:hAnsi="仿宋" w:eastAsia="仿宋"/>
                <w:color w:val="auto"/>
                <w:sz w:val="24"/>
              </w:rPr>
            </w:pPr>
            <w:r>
              <w:rPr>
                <w:rFonts w:ascii="仿宋" w:hAnsi="仿宋" w:eastAsia="仿宋"/>
                <w:color w:val="auto"/>
                <w:sz w:val="24"/>
              </w:rPr>
              <w:t>&lt;4小时</w:t>
            </w:r>
          </w:p>
        </w:tc>
        <w:tc>
          <w:tcPr>
            <w:tcW w:w="855" w:type="pct"/>
          </w:tcPr>
          <w:p w14:paraId="5376E284">
            <w:pPr>
              <w:pStyle w:val="43"/>
              <w:rPr>
                <w:rFonts w:ascii="仿宋" w:hAnsi="仿宋" w:eastAsia="仿宋"/>
                <w:color w:val="auto"/>
                <w:sz w:val="24"/>
              </w:rPr>
            </w:pPr>
            <w:r>
              <w:rPr>
                <w:rFonts w:ascii="仿宋" w:hAnsi="仿宋" w:eastAsia="仿宋"/>
                <w:color w:val="auto"/>
                <w:sz w:val="24"/>
              </w:rPr>
              <w:t>中高</w:t>
            </w:r>
          </w:p>
        </w:tc>
      </w:tr>
    </w:tbl>
    <w:p w14:paraId="3A4DDEB6">
      <w:pPr>
        <w:spacing w:before="80" w:after="80"/>
        <w:rPr>
          <w:rFonts w:hint="eastAsia"/>
          <w:color w:val="auto"/>
        </w:rPr>
      </w:pPr>
    </w:p>
    <w:p w14:paraId="5865B6AB">
      <w:pPr>
        <w:pStyle w:val="6"/>
        <w:rPr>
          <w:rFonts w:hint="eastAsia"/>
          <w:color w:val="auto"/>
        </w:rPr>
      </w:pPr>
      <w:r>
        <w:rPr>
          <w:color w:val="auto"/>
        </w:rPr>
        <w:t>快速回退操作规程</w:t>
      </w:r>
    </w:p>
    <w:p w14:paraId="511DB40F">
      <w:pPr>
        <w:pStyle w:val="7"/>
        <w:rPr>
          <w:rFonts w:hint="eastAsia"/>
          <w:color w:val="auto"/>
        </w:rPr>
      </w:pPr>
      <w:r>
        <w:rPr>
          <w:color w:val="auto"/>
        </w:rPr>
        <w:t>网关级回退（30分钟内）</w:t>
      </w:r>
    </w:p>
    <w:p w14:paraId="7B91798A">
      <w:pPr>
        <w:pStyle w:val="42"/>
        <w:jc w:val="both"/>
        <w:rPr>
          <w:rFonts w:hint="eastAsia"/>
          <w:color w:val="auto"/>
        </w:rPr>
      </w:pPr>
      <w:r>
        <w:rPr>
          <w:color w:val="auto"/>
          <w:szCs w:val="22"/>
        </w:rPr>
        <w:t>适用于灰度切换阶段发现问题，通过修改网关路由权重将流量立即切回旧集群：</w:t>
      </w:r>
    </w:p>
    <w:p w14:paraId="16F09806">
      <w:pPr>
        <w:pStyle w:val="35"/>
        <w:widowControl/>
        <w:numPr>
          <w:ilvl w:val="0"/>
          <w:numId w:val="12"/>
        </w:numPr>
        <w:ind w:left="420" w:leftChars="175"/>
        <w:contextualSpacing w:val="0"/>
        <w:rPr>
          <w:rFonts w:hint="eastAsia"/>
          <w:color w:val="auto"/>
        </w:rPr>
      </w:pPr>
      <w:r>
        <w:rPr>
          <w:rFonts w:ascii="仿宋" w:hAnsi="仿宋" w:cs="仿宋"/>
          <w:color w:val="auto"/>
          <w:szCs w:val="22"/>
        </w:rPr>
        <w:t>登录API网关控制台</w:t>
      </w:r>
    </w:p>
    <w:p w14:paraId="2704DF72">
      <w:pPr>
        <w:pStyle w:val="35"/>
        <w:widowControl/>
        <w:numPr>
          <w:ilvl w:val="0"/>
          <w:numId w:val="12"/>
        </w:numPr>
        <w:ind w:left="840" w:hanging="420"/>
        <w:contextualSpacing w:val="0"/>
        <w:rPr>
          <w:rFonts w:hint="eastAsia"/>
          <w:color w:val="auto"/>
        </w:rPr>
      </w:pPr>
      <w:r>
        <w:rPr>
          <w:rFonts w:ascii="仿宋" w:hAnsi="仿宋" w:cs="仿宋"/>
          <w:color w:val="auto"/>
          <w:szCs w:val="22"/>
        </w:rPr>
        <w:t>将新集群upstream权重设置为0，旧集群权重设置为100</w:t>
      </w:r>
    </w:p>
    <w:p w14:paraId="00FCD3E9">
      <w:pPr>
        <w:pStyle w:val="35"/>
        <w:widowControl/>
        <w:numPr>
          <w:ilvl w:val="0"/>
          <w:numId w:val="12"/>
        </w:numPr>
        <w:ind w:left="840" w:hanging="420"/>
        <w:contextualSpacing w:val="0"/>
        <w:rPr>
          <w:rFonts w:hint="eastAsia"/>
          <w:color w:val="auto"/>
        </w:rPr>
      </w:pPr>
      <w:r>
        <w:rPr>
          <w:rFonts w:ascii="仿宋" w:hAnsi="仿宋" w:cs="仿宋"/>
          <w:color w:val="auto"/>
          <w:szCs w:val="22"/>
        </w:rPr>
        <w:t>验证请求全部路由至旧集群（通过日志和监控确认）</w:t>
      </w:r>
    </w:p>
    <w:p w14:paraId="7E5A4DA9">
      <w:pPr>
        <w:pStyle w:val="35"/>
        <w:widowControl/>
        <w:numPr>
          <w:ilvl w:val="0"/>
          <w:numId w:val="12"/>
        </w:numPr>
        <w:ind w:left="840" w:hanging="420"/>
        <w:contextualSpacing w:val="0"/>
        <w:rPr>
          <w:rFonts w:hint="eastAsia"/>
          <w:color w:val="auto"/>
        </w:rPr>
      </w:pPr>
      <w:r>
        <w:rPr>
          <w:rFonts w:ascii="仿宋" w:hAnsi="仿宋" w:cs="仿宋"/>
          <w:color w:val="auto"/>
          <w:szCs w:val="22"/>
        </w:rPr>
        <w:t>向相关业务系统负责人发送回退完成通知</w:t>
      </w:r>
    </w:p>
    <w:p w14:paraId="69623930">
      <w:pPr>
        <w:pStyle w:val="35"/>
        <w:widowControl/>
        <w:numPr>
          <w:ilvl w:val="0"/>
          <w:numId w:val="12"/>
        </w:numPr>
        <w:ind w:left="840" w:hanging="420"/>
        <w:contextualSpacing w:val="0"/>
        <w:rPr>
          <w:rFonts w:hint="eastAsia"/>
          <w:color w:val="auto"/>
        </w:rPr>
      </w:pPr>
      <w:r>
        <w:rPr>
          <w:rFonts w:ascii="仿宋" w:hAnsi="仿宋" w:cs="仿宋"/>
          <w:color w:val="auto"/>
          <w:szCs w:val="22"/>
        </w:rPr>
        <w:t>召集技术团队分析问题原因，制定修复方案</w:t>
      </w:r>
    </w:p>
    <w:p w14:paraId="7838E849">
      <w:pPr>
        <w:pStyle w:val="7"/>
        <w:rPr>
          <w:rFonts w:hint="eastAsia"/>
          <w:color w:val="auto"/>
        </w:rPr>
      </w:pPr>
      <w:r>
        <w:rPr>
          <w:color w:val="auto"/>
        </w:rPr>
        <w:t>VIP级回退（1小时内）</w:t>
      </w:r>
    </w:p>
    <w:p w14:paraId="3A343068">
      <w:pPr>
        <w:pStyle w:val="42"/>
        <w:jc w:val="both"/>
        <w:rPr>
          <w:rFonts w:hint="eastAsia"/>
          <w:color w:val="auto"/>
        </w:rPr>
      </w:pPr>
      <w:r>
        <w:rPr>
          <w:color w:val="auto"/>
          <w:szCs w:val="22"/>
        </w:rPr>
        <w:t>适用于全量切换后发现严重问题，通过VIP漂移将接入层切回旧集群：</w:t>
      </w:r>
    </w:p>
    <w:p w14:paraId="7F31D13B">
      <w:pPr>
        <w:pStyle w:val="35"/>
        <w:widowControl/>
        <w:numPr>
          <w:ilvl w:val="0"/>
          <w:numId w:val="13"/>
        </w:numPr>
        <w:ind w:left="420" w:leftChars="175"/>
        <w:contextualSpacing w:val="0"/>
        <w:rPr>
          <w:rFonts w:hint="eastAsia"/>
          <w:color w:val="auto"/>
        </w:rPr>
      </w:pPr>
      <w:r>
        <w:rPr>
          <w:rFonts w:ascii="仿宋" w:hAnsi="仿宋" w:cs="仿宋"/>
          <w:color w:val="auto"/>
          <w:szCs w:val="22"/>
        </w:rPr>
        <w:t>在旧集群Keepalived上执行priority提升操作，抢占VIP</w:t>
      </w:r>
    </w:p>
    <w:p w14:paraId="3534C144">
      <w:pPr>
        <w:pStyle w:val="35"/>
        <w:widowControl/>
        <w:numPr>
          <w:ilvl w:val="0"/>
          <w:numId w:val="13"/>
        </w:numPr>
        <w:ind w:left="840" w:hanging="420"/>
        <w:contextualSpacing w:val="0"/>
        <w:rPr>
          <w:rFonts w:hint="eastAsia"/>
          <w:color w:val="auto"/>
        </w:rPr>
      </w:pPr>
      <w:r>
        <w:rPr>
          <w:rFonts w:ascii="仿宋" w:hAnsi="仿宋" w:cs="仿宋"/>
          <w:color w:val="auto"/>
          <w:szCs w:val="22"/>
        </w:rPr>
        <w:t>等待VIP漂移完成（通常&lt;30秒）</w:t>
      </w:r>
    </w:p>
    <w:p w14:paraId="43E718DB">
      <w:pPr>
        <w:pStyle w:val="35"/>
        <w:widowControl/>
        <w:numPr>
          <w:ilvl w:val="0"/>
          <w:numId w:val="13"/>
        </w:numPr>
        <w:ind w:left="840" w:hanging="420"/>
        <w:contextualSpacing w:val="0"/>
        <w:rPr>
          <w:rFonts w:hint="eastAsia"/>
          <w:color w:val="auto"/>
        </w:rPr>
      </w:pPr>
      <w:r>
        <w:rPr>
          <w:rFonts w:ascii="仿宋" w:hAnsi="仿宋" w:cs="仿宋"/>
          <w:color w:val="auto"/>
          <w:szCs w:val="22"/>
        </w:rPr>
        <w:t>验证业务请求已切回旧集群</w:t>
      </w:r>
    </w:p>
    <w:p w14:paraId="13B16A85">
      <w:pPr>
        <w:pStyle w:val="35"/>
        <w:widowControl/>
        <w:numPr>
          <w:ilvl w:val="0"/>
          <w:numId w:val="13"/>
        </w:numPr>
        <w:ind w:left="840" w:hanging="420"/>
        <w:contextualSpacing w:val="0"/>
        <w:rPr>
          <w:rFonts w:hint="eastAsia"/>
          <w:color w:val="auto"/>
        </w:rPr>
      </w:pPr>
      <w:r>
        <w:rPr>
          <w:rFonts w:ascii="仿宋" w:hAnsi="仿宋" w:cs="仿宋"/>
          <w:color w:val="auto"/>
          <w:szCs w:val="22"/>
        </w:rPr>
        <w:t>检查旧集群状态，确认所有服务正常运行</w:t>
      </w:r>
    </w:p>
    <w:p w14:paraId="18502571">
      <w:pPr>
        <w:pStyle w:val="35"/>
        <w:widowControl/>
        <w:numPr>
          <w:ilvl w:val="0"/>
          <w:numId w:val="13"/>
        </w:numPr>
        <w:ind w:left="840" w:hanging="420"/>
        <w:contextualSpacing w:val="0"/>
        <w:rPr>
          <w:rFonts w:hint="eastAsia"/>
          <w:color w:val="auto"/>
        </w:rPr>
      </w:pPr>
      <w:r>
        <w:rPr>
          <w:rFonts w:ascii="仿宋" w:hAnsi="仿宋" w:cs="仿宋"/>
          <w:color w:val="auto"/>
          <w:szCs w:val="22"/>
        </w:rPr>
        <w:t>评估新集群故障原因，制定修复方案</w:t>
      </w:r>
    </w:p>
    <w:p w14:paraId="55B93192">
      <w:pPr>
        <w:pStyle w:val="6"/>
        <w:rPr>
          <w:rFonts w:hint="eastAsia"/>
          <w:color w:val="auto"/>
        </w:rPr>
      </w:pPr>
      <w:r>
        <w:rPr>
          <w:color w:val="auto"/>
        </w:rPr>
        <w:t>回退演练计划</w:t>
      </w:r>
    </w:p>
    <w:p w14:paraId="3CAF9FDB">
      <w:pPr>
        <w:pStyle w:val="42"/>
        <w:jc w:val="both"/>
        <w:rPr>
          <w:rFonts w:hint="eastAsia"/>
          <w:color w:val="auto"/>
        </w:rPr>
      </w:pPr>
      <w:r>
        <w:rPr>
          <w:color w:val="auto"/>
          <w:szCs w:val="22"/>
        </w:rPr>
        <w:t>在正式升级改造前，须至少执行一次全场景回退演练，验证回退流程的可行性和时效性。演练内容包括：网关级回退演练、VIP级回退演练、批处理作业回退演练（恢复旧集群批处理）、Kundb VIP回退演练。</w:t>
      </w:r>
    </w:p>
    <w:p w14:paraId="38946B07">
      <w:pPr>
        <w:pStyle w:val="7"/>
        <w:rPr>
          <w:rFonts w:hint="eastAsia"/>
          <w:color w:val="auto"/>
        </w:rPr>
      </w:pPr>
      <w:r>
        <w:rPr>
          <w:rFonts w:hint="eastAsia"/>
          <w:color w:val="auto"/>
        </w:rPr>
        <w:t>实施</w:t>
      </w:r>
      <w:r>
        <w:rPr>
          <w:color w:val="auto"/>
        </w:rPr>
        <w:t>业务不停机保障机制</w:t>
      </w:r>
    </w:p>
    <w:p w14:paraId="30DAB68C">
      <w:pPr>
        <w:pStyle w:val="42"/>
        <w:jc w:val="both"/>
        <w:rPr>
          <w:rFonts w:hint="eastAsia"/>
          <w:color w:val="auto"/>
        </w:rPr>
      </w:pPr>
      <w:r>
        <w:rPr>
          <w:color w:val="auto"/>
          <w:szCs w:val="22"/>
        </w:rPr>
        <w:t>业务不停机是本次升级改造的最高约束，以下机制共同保障业务连续性：</w:t>
      </w:r>
    </w:p>
    <w:p w14:paraId="5199EBE1">
      <w:pPr>
        <w:pStyle w:val="8"/>
        <w:rPr>
          <w:rFonts w:hint="eastAsia"/>
          <w:color w:val="auto"/>
        </w:rPr>
      </w:pPr>
      <w:r>
        <w:rPr>
          <w:color w:val="auto"/>
        </w:rPr>
        <w:t>双通道并行运行</w:t>
      </w:r>
    </w:p>
    <w:p w14:paraId="18FAFA78">
      <w:pPr>
        <w:pStyle w:val="42"/>
        <w:jc w:val="both"/>
        <w:rPr>
          <w:rFonts w:hint="eastAsia"/>
          <w:color w:val="auto"/>
        </w:rPr>
      </w:pPr>
      <w:r>
        <w:rPr>
          <w:color w:val="auto"/>
          <w:szCs w:val="22"/>
        </w:rPr>
        <w:t>在灰度切换阶段，新旧集群同时对外服务，通过流量网关按照预设规则（业务类型、用户身份、随机比例等）将请求路由至对应集群。任一集群出现故障，流量立即全部切回健康集群，切换时间控制在30秒以内。</w:t>
      </w:r>
    </w:p>
    <w:p w14:paraId="6F679E5D">
      <w:pPr>
        <w:pStyle w:val="8"/>
        <w:rPr>
          <w:rFonts w:hint="eastAsia"/>
          <w:color w:val="auto"/>
        </w:rPr>
      </w:pPr>
      <w:r>
        <w:rPr>
          <w:color w:val="auto"/>
        </w:rPr>
        <w:t>VIP无感知切换</w:t>
      </w:r>
    </w:p>
    <w:p w14:paraId="75334EA4">
      <w:pPr>
        <w:pStyle w:val="42"/>
        <w:jc w:val="both"/>
        <w:rPr>
          <w:rFonts w:hint="eastAsia"/>
          <w:color w:val="auto"/>
        </w:rPr>
      </w:pPr>
      <w:r>
        <w:rPr>
          <w:color w:val="auto"/>
          <w:szCs w:val="22"/>
        </w:rPr>
        <w:t>对外服务暴露统一的VIP地址，业务系统无需修改任何配置。通过Keepalived/LVS控制VIP漂移，实现新旧集群接入层的无感知切换。切换操作在计划维护窗口（凌晨低峰期）执行，提前通知相关业务部门。</w:t>
      </w:r>
    </w:p>
    <w:p w14:paraId="4C5CE955">
      <w:pPr>
        <w:pStyle w:val="8"/>
        <w:rPr>
          <w:rFonts w:hint="eastAsia"/>
          <w:color w:val="auto"/>
        </w:rPr>
      </w:pPr>
      <w:r>
        <w:rPr>
          <w:color w:val="auto"/>
        </w:rPr>
        <w:t>夜间批处理保障</w:t>
      </w:r>
    </w:p>
    <w:p w14:paraId="2370302E">
      <w:pPr>
        <w:pStyle w:val="42"/>
        <w:jc w:val="both"/>
        <w:rPr>
          <w:rFonts w:hint="eastAsia"/>
          <w:color w:val="auto"/>
        </w:rPr>
      </w:pPr>
      <w:r>
        <w:rPr>
          <w:color w:val="auto"/>
          <w:szCs w:val="22"/>
        </w:rPr>
        <w:t>夜间批处理任务（23:00-06:00）是最敏感的时间窗口。在迁移过渡期，旧集群继续承接全量夜间批处理任务，新集群同步进行影子运行（Shadow Run），比对新旧集群计算结果。只有在连续5个工作日影子运行结果完全一致的前提下，才允许将夜间批处理任务切换至新集群。</w:t>
      </w:r>
    </w:p>
    <w:p w14:paraId="21F5276F">
      <w:pPr>
        <w:pStyle w:val="8"/>
        <w:rPr>
          <w:rFonts w:hint="eastAsia"/>
          <w:color w:val="auto"/>
        </w:rPr>
      </w:pPr>
      <w:r>
        <w:rPr>
          <w:color w:val="auto"/>
        </w:rPr>
        <w:t>领导驾驶舱专项保障</w:t>
      </w:r>
    </w:p>
    <w:p w14:paraId="54F6952E">
      <w:pPr>
        <w:ind w:firstLine="420"/>
        <w:rPr>
          <w:rFonts w:hint="eastAsia" w:ascii="仿宋" w:hAnsi="仿宋" w:cs="仿宋"/>
          <w:color w:val="auto"/>
          <w:szCs w:val="22"/>
        </w:rPr>
      </w:pPr>
      <w:r>
        <w:rPr>
          <w:rFonts w:ascii="仿宋" w:hAnsi="仿宋" w:cs="仿宋"/>
          <w:color w:val="auto"/>
          <w:szCs w:val="22"/>
        </w:rPr>
        <w:t>领导驾驶舱作为最高优先级业务，在全量切换前须在新集群完成不少于2周的并行运行验证，确认查询结果、响应时间、数据刷新频率均满足要求后方可切换。切换时间选择在无重要会议、无重大活动的工作日夜间执行。</w:t>
      </w:r>
    </w:p>
    <w:p w14:paraId="12C5E6F9">
      <w:pPr>
        <w:pStyle w:val="5"/>
        <w:rPr>
          <w:rFonts w:hint="eastAsia"/>
          <w:color w:val="auto"/>
        </w:rPr>
      </w:pPr>
      <w:r>
        <w:rPr>
          <w:color w:val="auto"/>
        </w:rPr>
        <w:t>运维保障方案</w:t>
      </w:r>
    </w:p>
    <w:p w14:paraId="4D3A8917">
      <w:pPr>
        <w:pStyle w:val="6"/>
        <w:rPr>
          <w:rFonts w:hint="eastAsia"/>
          <w:color w:val="auto"/>
        </w:rPr>
      </w:pPr>
      <w:r>
        <w:rPr>
          <w:color w:val="auto"/>
        </w:rPr>
        <w:t>升级期间监控体系</w:t>
      </w:r>
    </w:p>
    <w:p w14:paraId="59AA1EC1">
      <w:pPr>
        <w:pStyle w:val="42"/>
        <w:jc w:val="both"/>
        <w:rPr>
          <w:rFonts w:hint="eastAsia"/>
          <w:color w:val="auto"/>
        </w:rPr>
      </w:pPr>
      <w:r>
        <w:rPr>
          <w:color w:val="auto"/>
          <w:szCs w:val="22"/>
        </w:rPr>
        <w:t>在升级改造全过程中，建立全方位、多层次的监控体系，确保任何异常都能在第一时间被发现和处置：</w:t>
      </w:r>
    </w:p>
    <w:p w14:paraId="6E6AC56D">
      <w:pPr>
        <w:pStyle w:val="7"/>
        <w:rPr>
          <w:rFonts w:hint="eastAsia"/>
          <w:color w:val="auto"/>
        </w:rPr>
      </w:pPr>
      <w:r>
        <w:rPr>
          <w:color w:val="auto"/>
        </w:rPr>
        <w:t>基础设施监控</w:t>
      </w:r>
    </w:p>
    <w:p w14:paraId="1124D558">
      <w:pPr>
        <w:pStyle w:val="35"/>
        <w:widowControl/>
        <w:numPr>
          <w:ilvl w:val="0"/>
          <w:numId w:val="5"/>
        </w:numPr>
        <w:ind w:left="840" w:hanging="420"/>
        <w:contextualSpacing w:val="0"/>
        <w:rPr>
          <w:rFonts w:hint="eastAsia"/>
          <w:color w:val="auto"/>
        </w:rPr>
      </w:pPr>
      <w:r>
        <w:rPr>
          <w:rFonts w:ascii="仿宋" w:hAnsi="仿宋" w:cs="仿宋"/>
          <w:color w:val="auto"/>
          <w:szCs w:val="22"/>
        </w:rPr>
        <w:t>服务器资源监控：CPU、内存、磁盘IO、网络带宽，采集间隔5秒，异常阈值触发告警</w:t>
      </w:r>
    </w:p>
    <w:p w14:paraId="4D19566D">
      <w:pPr>
        <w:pStyle w:val="35"/>
        <w:widowControl/>
        <w:numPr>
          <w:ilvl w:val="0"/>
          <w:numId w:val="5"/>
        </w:numPr>
        <w:ind w:left="840" w:hanging="420"/>
        <w:contextualSpacing w:val="0"/>
        <w:rPr>
          <w:rFonts w:hint="eastAsia"/>
          <w:color w:val="auto"/>
        </w:rPr>
      </w:pPr>
      <w:r>
        <w:rPr>
          <w:rFonts w:ascii="仿宋" w:hAnsi="仿宋" w:cs="仿宋"/>
          <w:color w:val="auto"/>
          <w:szCs w:val="22"/>
        </w:rPr>
        <w:t>ARM节点专项监控：重点监控ARM节点的温度（防止散热问题）、NUMA内存访问延迟、指令集使用率</w:t>
      </w:r>
    </w:p>
    <w:p w14:paraId="60157C0C">
      <w:pPr>
        <w:pStyle w:val="35"/>
        <w:widowControl/>
        <w:numPr>
          <w:ilvl w:val="0"/>
          <w:numId w:val="5"/>
        </w:numPr>
        <w:ind w:left="840" w:hanging="420"/>
        <w:contextualSpacing w:val="0"/>
        <w:rPr>
          <w:rFonts w:hint="eastAsia"/>
          <w:color w:val="auto"/>
        </w:rPr>
      </w:pPr>
      <w:r>
        <w:rPr>
          <w:rFonts w:ascii="仿宋" w:hAnsi="仿宋" w:cs="仿宋"/>
          <w:color w:val="auto"/>
          <w:szCs w:val="22"/>
        </w:rPr>
        <w:t>存储健康监控：HDFS磁盘健康状态、DataNode心跳、副本缺失告警</w:t>
      </w:r>
    </w:p>
    <w:p w14:paraId="3344BA24">
      <w:pPr>
        <w:pStyle w:val="7"/>
        <w:rPr>
          <w:rFonts w:hint="eastAsia"/>
          <w:color w:val="auto"/>
        </w:rPr>
      </w:pPr>
      <w:r>
        <w:rPr>
          <w:color w:val="auto"/>
        </w:rPr>
        <w:t>数据服务监控</w:t>
      </w:r>
    </w:p>
    <w:p w14:paraId="6EA5D27D">
      <w:pPr>
        <w:pStyle w:val="35"/>
        <w:widowControl/>
        <w:numPr>
          <w:ilvl w:val="0"/>
          <w:numId w:val="5"/>
        </w:numPr>
        <w:ind w:left="840" w:hanging="420"/>
        <w:contextualSpacing w:val="0"/>
        <w:rPr>
          <w:rFonts w:hint="eastAsia"/>
          <w:color w:val="auto"/>
        </w:rPr>
      </w:pPr>
      <w:r>
        <w:rPr>
          <w:rFonts w:ascii="仿宋" w:hAnsi="仿宋" w:cs="仿宋"/>
          <w:color w:val="auto"/>
          <w:szCs w:val="22"/>
        </w:rPr>
        <w:t>ArgoDB性能监控：Query QPS、P50/P99延迟、并发连接数、缓存命中率</w:t>
      </w:r>
    </w:p>
    <w:p w14:paraId="6A88F653">
      <w:pPr>
        <w:pStyle w:val="35"/>
        <w:widowControl/>
        <w:numPr>
          <w:ilvl w:val="0"/>
          <w:numId w:val="5"/>
        </w:numPr>
        <w:ind w:left="840" w:hanging="420"/>
        <w:contextualSpacing w:val="0"/>
        <w:rPr>
          <w:rFonts w:hint="eastAsia"/>
          <w:color w:val="auto"/>
        </w:rPr>
      </w:pPr>
      <w:r>
        <w:rPr>
          <w:rFonts w:ascii="仿宋" w:hAnsi="仿宋" w:cs="仿宋"/>
          <w:color w:val="auto"/>
          <w:szCs w:val="22"/>
        </w:rPr>
        <w:t>Scope服务监控：接口调用成功率、响应时间、连接池使用率</w:t>
      </w:r>
    </w:p>
    <w:p w14:paraId="235EC42B">
      <w:pPr>
        <w:pStyle w:val="35"/>
        <w:widowControl/>
        <w:numPr>
          <w:ilvl w:val="0"/>
          <w:numId w:val="5"/>
        </w:numPr>
        <w:ind w:left="840" w:hanging="420"/>
        <w:contextualSpacing w:val="0"/>
        <w:rPr>
          <w:rFonts w:hint="eastAsia"/>
          <w:color w:val="auto"/>
        </w:rPr>
      </w:pPr>
      <w:r>
        <w:rPr>
          <w:rFonts w:hint="eastAsia" w:cs="仿宋"/>
          <w:color w:val="auto"/>
          <w:szCs w:val="22"/>
        </w:rPr>
        <w:t>Inceptor</w:t>
      </w:r>
      <w:r>
        <w:rPr>
          <w:rFonts w:ascii="仿宋" w:hAnsi="仿宋" w:cs="仿宋"/>
          <w:color w:val="auto"/>
          <w:szCs w:val="22"/>
        </w:rPr>
        <w:t>作业监控：作业提交成功率、作业执行时间分布、资源利用率</w:t>
      </w:r>
    </w:p>
    <w:p w14:paraId="05985C53">
      <w:pPr>
        <w:pStyle w:val="7"/>
        <w:rPr>
          <w:rFonts w:hint="eastAsia"/>
          <w:color w:val="auto"/>
        </w:rPr>
      </w:pPr>
      <w:r>
        <w:rPr>
          <w:color w:val="auto"/>
        </w:rPr>
        <w:t>数据同步监控</w:t>
      </w:r>
    </w:p>
    <w:p w14:paraId="411A8031">
      <w:pPr>
        <w:pStyle w:val="35"/>
        <w:widowControl/>
        <w:numPr>
          <w:ilvl w:val="0"/>
          <w:numId w:val="5"/>
        </w:numPr>
        <w:ind w:left="840" w:hanging="420"/>
        <w:contextualSpacing w:val="0"/>
        <w:rPr>
          <w:rFonts w:hint="eastAsia"/>
          <w:color w:val="auto"/>
        </w:rPr>
      </w:pPr>
      <w:r>
        <w:rPr>
          <w:rFonts w:ascii="仿宋" w:hAnsi="仿宋" w:cs="仿宋"/>
          <w:color w:val="auto"/>
          <w:szCs w:val="22"/>
        </w:rPr>
        <w:t>DistCp迁移进度监控：已迁移数据量、预估完成时间、迁移速度</w:t>
      </w:r>
    </w:p>
    <w:p w14:paraId="30B4BFCD">
      <w:pPr>
        <w:pStyle w:val="35"/>
        <w:widowControl/>
        <w:numPr>
          <w:ilvl w:val="0"/>
          <w:numId w:val="5"/>
        </w:numPr>
        <w:ind w:left="840" w:hanging="420"/>
        <w:contextualSpacing w:val="0"/>
        <w:rPr>
          <w:rFonts w:hint="eastAsia"/>
          <w:color w:val="auto"/>
        </w:rPr>
      </w:pPr>
      <w:r>
        <w:rPr>
          <w:rFonts w:ascii="仿宋" w:hAnsi="仿宋" w:cs="仿宋"/>
          <w:color w:val="auto"/>
          <w:szCs w:val="22"/>
        </w:rPr>
        <w:t>Hyperbase replication延迟：主备集群replication lag实时监控，阈值告警</w:t>
      </w:r>
    </w:p>
    <w:p w14:paraId="212EF9CF">
      <w:pPr>
        <w:pStyle w:val="35"/>
        <w:widowControl/>
        <w:numPr>
          <w:ilvl w:val="0"/>
          <w:numId w:val="5"/>
        </w:numPr>
        <w:ind w:left="840" w:hanging="420"/>
        <w:contextualSpacing w:val="0"/>
        <w:rPr>
          <w:rFonts w:hint="eastAsia"/>
          <w:color w:val="auto"/>
        </w:rPr>
      </w:pPr>
      <w:r>
        <w:rPr>
          <w:rFonts w:ascii="仿宋" w:hAnsi="仿宋" w:cs="仿宋"/>
          <w:color w:val="auto"/>
          <w:szCs w:val="22"/>
        </w:rPr>
        <w:t>Canal同步状态：Binlog同步位点、同步延迟、错误日志</w:t>
      </w:r>
    </w:p>
    <w:p w14:paraId="223247FA">
      <w:pPr>
        <w:pStyle w:val="6"/>
        <w:rPr>
          <w:rFonts w:hint="eastAsia"/>
          <w:color w:val="auto"/>
        </w:rPr>
      </w:pPr>
      <w:r>
        <w:rPr>
          <w:color w:val="auto"/>
        </w:rPr>
        <w:t>告警体系</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1640"/>
        <w:gridCol w:w="2003"/>
        <w:gridCol w:w="3240"/>
      </w:tblGrid>
      <w:tr w14:paraId="1C27067A">
        <w:tc>
          <w:tcPr>
            <w:tcW w:w="962" w:type="pct"/>
          </w:tcPr>
          <w:p w14:paraId="7E000A1F">
            <w:pPr>
              <w:pStyle w:val="43"/>
              <w:jc w:val="center"/>
              <w:rPr>
                <w:rFonts w:ascii="仿宋" w:hAnsi="仿宋" w:eastAsia="仿宋"/>
                <w:b/>
                <w:color w:val="auto"/>
                <w:sz w:val="24"/>
              </w:rPr>
            </w:pPr>
            <w:r>
              <w:rPr>
                <w:rFonts w:ascii="仿宋" w:hAnsi="仿宋" w:eastAsia="仿宋"/>
                <w:b/>
                <w:color w:val="auto"/>
                <w:sz w:val="24"/>
              </w:rPr>
              <w:t>告警级别</w:t>
            </w:r>
          </w:p>
        </w:tc>
        <w:tc>
          <w:tcPr>
            <w:tcW w:w="962" w:type="pct"/>
          </w:tcPr>
          <w:p w14:paraId="62915254">
            <w:pPr>
              <w:pStyle w:val="43"/>
              <w:jc w:val="center"/>
              <w:rPr>
                <w:rFonts w:ascii="仿宋" w:hAnsi="仿宋" w:eastAsia="仿宋"/>
                <w:b/>
                <w:color w:val="auto"/>
                <w:sz w:val="24"/>
              </w:rPr>
            </w:pPr>
            <w:r>
              <w:rPr>
                <w:rFonts w:ascii="仿宋" w:hAnsi="仿宋" w:eastAsia="仿宋"/>
                <w:b/>
                <w:color w:val="auto"/>
                <w:sz w:val="24"/>
              </w:rPr>
              <w:t>响应时间</w:t>
            </w:r>
          </w:p>
        </w:tc>
        <w:tc>
          <w:tcPr>
            <w:tcW w:w="1175" w:type="pct"/>
          </w:tcPr>
          <w:p w14:paraId="7C103F26">
            <w:pPr>
              <w:pStyle w:val="43"/>
              <w:jc w:val="center"/>
              <w:rPr>
                <w:rFonts w:ascii="仿宋" w:hAnsi="仿宋" w:eastAsia="仿宋"/>
                <w:b/>
                <w:color w:val="auto"/>
                <w:sz w:val="24"/>
              </w:rPr>
            </w:pPr>
            <w:r>
              <w:rPr>
                <w:rFonts w:ascii="仿宋" w:hAnsi="仿宋" w:eastAsia="仿宋"/>
                <w:b/>
                <w:color w:val="auto"/>
                <w:sz w:val="24"/>
              </w:rPr>
              <w:t>通知方式</w:t>
            </w:r>
          </w:p>
        </w:tc>
        <w:tc>
          <w:tcPr>
            <w:tcW w:w="1902" w:type="pct"/>
          </w:tcPr>
          <w:p w14:paraId="16537E75">
            <w:pPr>
              <w:pStyle w:val="43"/>
              <w:jc w:val="center"/>
              <w:rPr>
                <w:rFonts w:ascii="仿宋" w:hAnsi="仿宋" w:eastAsia="仿宋"/>
                <w:b/>
                <w:color w:val="auto"/>
                <w:sz w:val="24"/>
              </w:rPr>
            </w:pPr>
            <w:r>
              <w:rPr>
                <w:rFonts w:ascii="仿宋" w:hAnsi="仿宋" w:eastAsia="仿宋"/>
                <w:b/>
                <w:color w:val="auto"/>
                <w:sz w:val="24"/>
              </w:rPr>
              <w:t>处理要求</w:t>
            </w:r>
          </w:p>
        </w:tc>
      </w:tr>
      <w:tr w14:paraId="1E7ECCC4">
        <w:tc>
          <w:tcPr>
            <w:tcW w:w="962" w:type="pct"/>
          </w:tcPr>
          <w:p w14:paraId="20304419">
            <w:pPr>
              <w:pStyle w:val="43"/>
              <w:rPr>
                <w:rFonts w:ascii="仿宋" w:hAnsi="仿宋" w:eastAsia="仿宋"/>
                <w:color w:val="auto"/>
                <w:sz w:val="24"/>
              </w:rPr>
            </w:pPr>
            <w:r>
              <w:rPr>
                <w:rFonts w:ascii="仿宋" w:hAnsi="仿宋" w:eastAsia="仿宋"/>
                <w:color w:val="auto"/>
                <w:sz w:val="24"/>
              </w:rPr>
              <w:t>P0（严重）</w:t>
            </w:r>
          </w:p>
        </w:tc>
        <w:tc>
          <w:tcPr>
            <w:tcW w:w="962" w:type="pct"/>
          </w:tcPr>
          <w:p w14:paraId="76B13B63">
            <w:pPr>
              <w:pStyle w:val="43"/>
              <w:rPr>
                <w:rFonts w:ascii="仿宋" w:hAnsi="仿宋" w:eastAsia="仿宋"/>
                <w:color w:val="auto"/>
                <w:sz w:val="24"/>
              </w:rPr>
            </w:pPr>
            <w:r>
              <w:rPr>
                <w:rFonts w:ascii="仿宋" w:hAnsi="仿宋" w:eastAsia="仿宋"/>
                <w:color w:val="auto"/>
                <w:sz w:val="24"/>
              </w:rPr>
              <w:t>5分钟内</w:t>
            </w:r>
          </w:p>
        </w:tc>
        <w:tc>
          <w:tcPr>
            <w:tcW w:w="1175" w:type="pct"/>
          </w:tcPr>
          <w:p w14:paraId="084029AC">
            <w:pPr>
              <w:pStyle w:val="43"/>
              <w:rPr>
                <w:rFonts w:ascii="仿宋" w:hAnsi="仿宋" w:eastAsia="仿宋"/>
                <w:color w:val="auto"/>
                <w:sz w:val="24"/>
              </w:rPr>
            </w:pPr>
            <w:r>
              <w:rPr>
                <w:rFonts w:ascii="仿宋" w:hAnsi="仿宋" w:eastAsia="仿宋"/>
                <w:color w:val="auto"/>
                <w:sz w:val="24"/>
              </w:rPr>
              <w:t>电话+短信+微信</w:t>
            </w:r>
          </w:p>
        </w:tc>
        <w:tc>
          <w:tcPr>
            <w:tcW w:w="1902" w:type="pct"/>
          </w:tcPr>
          <w:p w14:paraId="208B63C2">
            <w:pPr>
              <w:pStyle w:val="43"/>
              <w:rPr>
                <w:rFonts w:ascii="仿宋" w:hAnsi="仿宋" w:eastAsia="仿宋"/>
                <w:color w:val="auto"/>
                <w:sz w:val="24"/>
              </w:rPr>
            </w:pPr>
            <w:r>
              <w:rPr>
                <w:rFonts w:ascii="仿宋" w:hAnsi="仿宋" w:eastAsia="仿宋"/>
                <w:color w:val="auto"/>
                <w:sz w:val="24"/>
              </w:rPr>
              <w:t>值班人员立即处理，15分钟内给出初步方案</w:t>
            </w:r>
          </w:p>
        </w:tc>
      </w:tr>
      <w:tr w14:paraId="3B52C41C">
        <w:tc>
          <w:tcPr>
            <w:tcW w:w="962" w:type="pct"/>
          </w:tcPr>
          <w:p w14:paraId="01823307">
            <w:pPr>
              <w:pStyle w:val="43"/>
              <w:rPr>
                <w:rFonts w:ascii="仿宋" w:hAnsi="仿宋" w:eastAsia="仿宋"/>
                <w:color w:val="auto"/>
                <w:sz w:val="24"/>
              </w:rPr>
            </w:pPr>
            <w:r>
              <w:rPr>
                <w:rFonts w:ascii="仿宋" w:hAnsi="仿宋" w:eastAsia="仿宋"/>
                <w:color w:val="auto"/>
                <w:sz w:val="24"/>
              </w:rPr>
              <w:t>P1（重要）</w:t>
            </w:r>
          </w:p>
        </w:tc>
        <w:tc>
          <w:tcPr>
            <w:tcW w:w="962" w:type="pct"/>
          </w:tcPr>
          <w:p w14:paraId="7AEC5361">
            <w:pPr>
              <w:pStyle w:val="43"/>
              <w:rPr>
                <w:rFonts w:ascii="仿宋" w:hAnsi="仿宋" w:eastAsia="仿宋"/>
                <w:color w:val="auto"/>
                <w:sz w:val="24"/>
              </w:rPr>
            </w:pPr>
            <w:r>
              <w:rPr>
                <w:rFonts w:ascii="仿宋" w:hAnsi="仿宋" w:eastAsia="仿宋"/>
                <w:color w:val="auto"/>
                <w:sz w:val="24"/>
              </w:rPr>
              <w:t>15分钟内</w:t>
            </w:r>
          </w:p>
        </w:tc>
        <w:tc>
          <w:tcPr>
            <w:tcW w:w="1175" w:type="pct"/>
          </w:tcPr>
          <w:p w14:paraId="5747A726">
            <w:pPr>
              <w:pStyle w:val="43"/>
              <w:rPr>
                <w:rFonts w:ascii="仿宋" w:hAnsi="仿宋" w:eastAsia="仿宋"/>
                <w:color w:val="auto"/>
                <w:sz w:val="24"/>
              </w:rPr>
            </w:pPr>
            <w:r>
              <w:rPr>
                <w:rFonts w:ascii="仿宋" w:hAnsi="仿宋" w:eastAsia="仿宋"/>
                <w:color w:val="auto"/>
                <w:sz w:val="24"/>
              </w:rPr>
              <w:t>短信+微信</w:t>
            </w:r>
          </w:p>
        </w:tc>
        <w:tc>
          <w:tcPr>
            <w:tcW w:w="1902" w:type="pct"/>
          </w:tcPr>
          <w:p w14:paraId="72E44C5F">
            <w:pPr>
              <w:pStyle w:val="43"/>
              <w:rPr>
                <w:rFonts w:ascii="仿宋" w:hAnsi="仿宋" w:eastAsia="仿宋"/>
                <w:color w:val="auto"/>
                <w:sz w:val="24"/>
              </w:rPr>
            </w:pPr>
            <w:r>
              <w:rPr>
                <w:rFonts w:ascii="仿宋" w:hAnsi="仿宋" w:eastAsia="仿宋"/>
                <w:color w:val="auto"/>
                <w:sz w:val="24"/>
              </w:rPr>
              <w:t>值班人员30分钟内处理</w:t>
            </w:r>
          </w:p>
        </w:tc>
      </w:tr>
      <w:tr w14:paraId="7A49EEEE">
        <w:tc>
          <w:tcPr>
            <w:tcW w:w="962" w:type="pct"/>
          </w:tcPr>
          <w:p w14:paraId="713A39B7">
            <w:pPr>
              <w:pStyle w:val="43"/>
              <w:rPr>
                <w:rFonts w:ascii="仿宋" w:hAnsi="仿宋" w:eastAsia="仿宋"/>
                <w:color w:val="auto"/>
                <w:sz w:val="24"/>
              </w:rPr>
            </w:pPr>
            <w:r>
              <w:rPr>
                <w:rFonts w:ascii="仿宋" w:hAnsi="仿宋" w:eastAsia="仿宋"/>
                <w:color w:val="auto"/>
                <w:sz w:val="24"/>
              </w:rPr>
              <w:t>P2（一般）</w:t>
            </w:r>
          </w:p>
        </w:tc>
        <w:tc>
          <w:tcPr>
            <w:tcW w:w="962" w:type="pct"/>
          </w:tcPr>
          <w:p w14:paraId="61C50FA0">
            <w:pPr>
              <w:pStyle w:val="43"/>
              <w:rPr>
                <w:rFonts w:ascii="仿宋" w:hAnsi="仿宋" w:eastAsia="仿宋"/>
                <w:color w:val="auto"/>
                <w:sz w:val="24"/>
              </w:rPr>
            </w:pPr>
            <w:r>
              <w:rPr>
                <w:rFonts w:ascii="仿宋" w:hAnsi="仿宋" w:eastAsia="仿宋"/>
                <w:color w:val="auto"/>
                <w:sz w:val="24"/>
              </w:rPr>
              <w:t>1小时内</w:t>
            </w:r>
          </w:p>
        </w:tc>
        <w:tc>
          <w:tcPr>
            <w:tcW w:w="1175" w:type="pct"/>
          </w:tcPr>
          <w:p w14:paraId="5FF54790">
            <w:pPr>
              <w:pStyle w:val="43"/>
              <w:rPr>
                <w:rFonts w:ascii="仿宋" w:hAnsi="仿宋" w:eastAsia="仿宋"/>
                <w:color w:val="auto"/>
                <w:sz w:val="24"/>
              </w:rPr>
            </w:pPr>
            <w:r>
              <w:rPr>
                <w:rFonts w:ascii="仿宋" w:hAnsi="仿宋" w:eastAsia="仿宋"/>
                <w:color w:val="auto"/>
                <w:sz w:val="24"/>
              </w:rPr>
              <w:t>微信/邮件</w:t>
            </w:r>
          </w:p>
        </w:tc>
        <w:tc>
          <w:tcPr>
            <w:tcW w:w="1902" w:type="pct"/>
          </w:tcPr>
          <w:p w14:paraId="5FC7425E">
            <w:pPr>
              <w:pStyle w:val="43"/>
              <w:rPr>
                <w:rFonts w:ascii="仿宋" w:hAnsi="仿宋" w:eastAsia="仿宋"/>
                <w:color w:val="auto"/>
                <w:sz w:val="24"/>
              </w:rPr>
            </w:pPr>
            <w:r>
              <w:rPr>
                <w:rFonts w:ascii="仿宋" w:hAnsi="仿宋" w:eastAsia="仿宋"/>
                <w:color w:val="auto"/>
                <w:sz w:val="24"/>
              </w:rPr>
              <w:t>工作时间内处理</w:t>
            </w:r>
          </w:p>
        </w:tc>
      </w:tr>
      <w:tr w14:paraId="4EAA6C44">
        <w:tc>
          <w:tcPr>
            <w:tcW w:w="962" w:type="pct"/>
          </w:tcPr>
          <w:p w14:paraId="0160180D">
            <w:pPr>
              <w:pStyle w:val="43"/>
              <w:rPr>
                <w:rFonts w:ascii="仿宋" w:hAnsi="仿宋" w:eastAsia="仿宋"/>
                <w:color w:val="auto"/>
                <w:sz w:val="24"/>
              </w:rPr>
            </w:pPr>
            <w:r>
              <w:rPr>
                <w:rFonts w:ascii="仿宋" w:hAnsi="仿宋" w:eastAsia="仿宋"/>
                <w:color w:val="auto"/>
                <w:sz w:val="24"/>
              </w:rPr>
              <w:t>P3（提示）</w:t>
            </w:r>
          </w:p>
        </w:tc>
        <w:tc>
          <w:tcPr>
            <w:tcW w:w="962" w:type="pct"/>
          </w:tcPr>
          <w:p w14:paraId="5E875A4D">
            <w:pPr>
              <w:pStyle w:val="43"/>
              <w:rPr>
                <w:rFonts w:ascii="仿宋" w:hAnsi="仿宋" w:eastAsia="仿宋"/>
                <w:color w:val="auto"/>
                <w:sz w:val="24"/>
              </w:rPr>
            </w:pPr>
            <w:r>
              <w:rPr>
                <w:rFonts w:ascii="仿宋" w:hAnsi="仿宋" w:eastAsia="仿宋"/>
                <w:color w:val="auto"/>
                <w:sz w:val="24"/>
              </w:rPr>
              <w:t>工作日内</w:t>
            </w:r>
          </w:p>
        </w:tc>
        <w:tc>
          <w:tcPr>
            <w:tcW w:w="1175" w:type="pct"/>
          </w:tcPr>
          <w:p w14:paraId="09A022EE">
            <w:pPr>
              <w:pStyle w:val="43"/>
              <w:rPr>
                <w:rFonts w:ascii="仿宋" w:hAnsi="仿宋" w:eastAsia="仿宋"/>
                <w:color w:val="auto"/>
                <w:sz w:val="24"/>
              </w:rPr>
            </w:pPr>
            <w:r>
              <w:rPr>
                <w:rFonts w:ascii="仿宋" w:hAnsi="仿宋" w:eastAsia="仿宋"/>
                <w:color w:val="auto"/>
                <w:sz w:val="24"/>
              </w:rPr>
              <w:t>邮件</w:t>
            </w:r>
          </w:p>
        </w:tc>
        <w:tc>
          <w:tcPr>
            <w:tcW w:w="1902" w:type="pct"/>
          </w:tcPr>
          <w:p w14:paraId="5F68B311">
            <w:pPr>
              <w:pStyle w:val="43"/>
              <w:rPr>
                <w:rFonts w:ascii="仿宋" w:hAnsi="仿宋" w:eastAsia="仿宋"/>
                <w:color w:val="auto"/>
                <w:sz w:val="24"/>
              </w:rPr>
            </w:pPr>
            <w:r>
              <w:rPr>
                <w:rFonts w:ascii="仿宋" w:hAnsi="仿宋" w:eastAsia="仿宋"/>
                <w:color w:val="auto"/>
                <w:sz w:val="24"/>
              </w:rPr>
              <w:t>纳入运维计划处理</w:t>
            </w:r>
          </w:p>
        </w:tc>
      </w:tr>
    </w:tbl>
    <w:p w14:paraId="7B08456A">
      <w:pPr>
        <w:spacing w:before="80" w:after="80"/>
        <w:rPr>
          <w:rFonts w:hint="eastAsia"/>
          <w:color w:val="auto"/>
        </w:rPr>
      </w:pPr>
    </w:p>
    <w:p w14:paraId="075BF61D">
      <w:pPr>
        <w:pStyle w:val="6"/>
        <w:rPr>
          <w:rFonts w:hint="eastAsia"/>
          <w:color w:val="auto"/>
        </w:rPr>
      </w:pPr>
      <w:r>
        <w:rPr>
          <w:color w:val="auto"/>
        </w:rPr>
        <w:t>应急响应机制</w:t>
      </w:r>
    </w:p>
    <w:p w14:paraId="6DFD5AB9">
      <w:pPr>
        <w:pStyle w:val="7"/>
        <w:rPr>
          <w:rFonts w:hint="eastAsia"/>
          <w:color w:val="auto"/>
        </w:rPr>
      </w:pPr>
      <w:r>
        <w:rPr>
          <w:color w:val="auto"/>
        </w:rPr>
        <w:t>应急响应等级</w:t>
      </w:r>
    </w:p>
    <w:p w14:paraId="2B8E6125">
      <w:pPr>
        <w:pStyle w:val="35"/>
        <w:widowControl/>
        <w:numPr>
          <w:ilvl w:val="0"/>
          <w:numId w:val="5"/>
        </w:numPr>
        <w:ind w:left="840" w:hanging="420"/>
        <w:contextualSpacing w:val="0"/>
        <w:rPr>
          <w:rFonts w:hint="eastAsia"/>
          <w:color w:val="auto"/>
        </w:rPr>
      </w:pPr>
      <w:r>
        <w:rPr>
          <w:rFonts w:ascii="仿宋" w:hAnsi="仿宋" w:cs="仿宋"/>
          <w:color w:val="auto"/>
          <w:szCs w:val="22"/>
        </w:rPr>
        <w:t>一级应急（业务完全中断）：全部核心业务系统不可用，触发一级应急，5分钟内启动应急指挥</w:t>
      </w:r>
    </w:p>
    <w:p w14:paraId="10319EB0">
      <w:pPr>
        <w:pStyle w:val="35"/>
        <w:widowControl/>
        <w:numPr>
          <w:ilvl w:val="0"/>
          <w:numId w:val="5"/>
        </w:numPr>
        <w:ind w:left="840" w:hanging="420"/>
        <w:contextualSpacing w:val="0"/>
        <w:rPr>
          <w:rFonts w:hint="eastAsia"/>
          <w:color w:val="auto"/>
        </w:rPr>
      </w:pPr>
      <w:r>
        <w:rPr>
          <w:rFonts w:ascii="仿宋" w:hAnsi="仿宋" w:cs="仿宋"/>
          <w:color w:val="auto"/>
          <w:szCs w:val="22"/>
        </w:rPr>
        <w:t>二级应急（部分业务中断）：核心业务系统部分不可用，触发二级应急，15分钟内启动处置</w:t>
      </w:r>
    </w:p>
    <w:p w14:paraId="5AA17C09">
      <w:pPr>
        <w:pStyle w:val="35"/>
        <w:widowControl/>
        <w:numPr>
          <w:ilvl w:val="0"/>
          <w:numId w:val="5"/>
        </w:numPr>
        <w:ind w:left="840" w:hanging="420"/>
        <w:contextualSpacing w:val="0"/>
        <w:rPr>
          <w:rFonts w:hint="eastAsia"/>
          <w:color w:val="auto"/>
        </w:rPr>
      </w:pPr>
      <w:r>
        <w:rPr>
          <w:rFonts w:ascii="仿宋" w:hAnsi="仿宋" w:cs="仿宋"/>
          <w:color w:val="auto"/>
          <w:szCs w:val="22"/>
        </w:rPr>
        <w:t>三级应急（性能严重劣化）：业务可用但性能严重下降，触发三级应急，1小时内处置</w:t>
      </w:r>
    </w:p>
    <w:p w14:paraId="002044A8">
      <w:pPr>
        <w:pStyle w:val="7"/>
        <w:rPr>
          <w:rFonts w:hint="eastAsia"/>
          <w:color w:val="auto"/>
        </w:rPr>
      </w:pPr>
      <w:r>
        <w:rPr>
          <w:color w:val="auto"/>
        </w:rPr>
        <w:t>主备切换机制</w:t>
      </w:r>
    </w:p>
    <w:p w14:paraId="70F69D45">
      <w:pPr>
        <w:pStyle w:val="42"/>
        <w:jc w:val="both"/>
        <w:rPr>
          <w:rFonts w:hint="eastAsia"/>
          <w:color w:val="auto"/>
        </w:rPr>
      </w:pPr>
      <w:r>
        <w:rPr>
          <w:color w:val="auto"/>
          <w:szCs w:val="22"/>
        </w:rPr>
        <w:t xml:space="preserve">ArgoDB </w:t>
      </w:r>
      <w:r>
        <w:rPr>
          <w:rFonts w:hint="eastAsia"/>
          <w:color w:val="auto"/>
          <w:szCs w:val="22"/>
        </w:rPr>
        <w:t>主</w:t>
      </w:r>
      <w:r>
        <w:rPr>
          <w:color w:val="auto"/>
          <w:szCs w:val="22"/>
        </w:rPr>
        <w:t>节点故障时，Paxos协议自动选举新Leader，切换时间&lt;30秒。应用接入层VIP故障时，Keepalived自动漂移，切换时间&lt;30秒。</w:t>
      </w:r>
    </w:p>
    <w:p w14:paraId="3FFC61C5">
      <w:pPr>
        <w:pStyle w:val="6"/>
        <w:rPr>
          <w:rFonts w:hint="eastAsia"/>
          <w:color w:val="auto"/>
        </w:rPr>
      </w:pPr>
      <w:r>
        <w:rPr>
          <w:color w:val="auto"/>
        </w:rPr>
        <w:t>重大活动保障</w:t>
      </w:r>
    </w:p>
    <w:p w14:paraId="503F949D">
      <w:pPr>
        <w:pStyle w:val="42"/>
        <w:jc w:val="both"/>
        <w:rPr>
          <w:rFonts w:hint="eastAsia"/>
          <w:color w:val="auto"/>
        </w:rPr>
      </w:pPr>
      <w:r>
        <w:rPr>
          <w:color w:val="auto"/>
          <w:szCs w:val="22"/>
        </w:rPr>
        <w:t>在重大政治活动、重要会议期间，执行以</w:t>
      </w:r>
      <w:bookmarkStart w:id="63" w:name="_GoBack"/>
      <w:bookmarkEnd w:id="63"/>
      <w:r>
        <w:rPr>
          <w:color w:val="auto"/>
          <w:szCs w:val="22"/>
        </w:rPr>
        <w:t>下专项保障措施：</w:t>
      </w:r>
    </w:p>
    <w:p w14:paraId="323520E7">
      <w:pPr>
        <w:pStyle w:val="35"/>
        <w:widowControl/>
        <w:numPr>
          <w:ilvl w:val="0"/>
          <w:numId w:val="5"/>
        </w:numPr>
        <w:ind w:left="840" w:hanging="420"/>
        <w:contextualSpacing w:val="0"/>
        <w:rPr>
          <w:rFonts w:hint="eastAsia"/>
          <w:color w:val="auto"/>
        </w:rPr>
      </w:pPr>
      <w:r>
        <w:rPr>
          <w:rFonts w:ascii="仿宋" w:hAnsi="仿宋" w:cs="仿宋"/>
          <w:color w:val="auto"/>
          <w:szCs w:val="22"/>
        </w:rPr>
        <w:t>活动前7天：完成全面系统巡检，修复已知问题，冻结版本变更（无特殊情况不允许变更）</w:t>
      </w:r>
    </w:p>
    <w:p w14:paraId="3B3C1DE7">
      <w:pPr>
        <w:pStyle w:val="35"/>
        <w:widowControl/>
        <w:numPr>
          <w:ilvl w:val="0"/>
          <w:numId w:val="5"/>
        </w:numPr>
        <w:ind w:left="840" w:hanging="420"/>
        <w:contextualSpacing w:val="0"/>
        <w:rPr>
          <w:rFonts w:hint="eastAsia"/>
          <w:color w:val="auto"/>
        </w:rPr>
      </w:pPr>
      <w:r>
        <w:rPr>
          <w:rFonts w:ascii="仿宋" w:hAnsi="仿宋" w:cs="仿宋"/>
          <w:color w:val="auto"/>
          <w:szCs w:val="22"/>
        </w:rPr>
        <w:t>活动前3天：执行全系统压力测试，验证性能基线；完成备份验证；确认应急回退方案就绪</w:t>
      </w:r>
    </w:p>
    <w:p w14:paraId="0C53F48C">
      <w:pPr>
        <w:pStyle w:val="35"/>
        <w:widowControl/>
        <w:numPr>
          <w:ilvl w:val="0"/>
          <w:numId w:val="5"/>
        </w:numPr>
        <w:ind w:left="840" w:hanging="420"/>
        <w:contextualSpacing w:val="0"/>
        <w:rPr>
          <w:rFonts w:hint="eastAsia"/>
          <w:color w:val="auto"/>
        </w:rPr>
      </w:pPr>
      <w:r>
        <w:rPr>
          <w:rFonts w:ascii="仿宋" w:hAnsi="仿宋" w:cs="仿宋"/>
          <w:color w:val="auto"/>
          <w:szCs w:val="22"/>
        </w:rPr>
        <w:t>活动期间：24×7值班，每小时巡检一次；所有变更申请需经主管领导审批；保持与业务部门的实时沟通</w:t>
      </w:r>
    </w:p>
    <w:p w14:paraId="0BD9593B">
      <w:pPr>
        <w:pStyle w:val="35"/>
        <w:widowControl/>
        <w:numPr>
          <w:ilvl w:val="0"/>
          <w:numId w:val="5"/>
        </w:numPr>
        <w:ind w:left="840" w:hanging="420"/>
        <w:contextualSpacing w:val="0"/>
        <w:rPr>
          <w:rFonts w:hint="eastAsia"/>
          <w:color w:val="auto"/>
        </w:rPr>
      </w:pPr>
      <w:r>
        <w:rPr>
          <w:rFonts w:ascii="仿宋" w:hAnsi="仿宋" w:cs="仿宋"/>
          <w:color w:val="auto"/>
          <w:szCs w:val="22"/>
        </w:rPr>
        <w:t>活动后：总结活动期间问题，更新运维手册；逐步恢复正常变更节奏</w:t>
      </w:r>
    </w:p>
    <w:p w14:paraId="2C40F304">
      <w:pPr>
        <w:pStyle w:val="3"/>
        <w:rPr>
          <w:rFonts w:hint="eastAsia"/>
          <w:color w:val="auto"/>
        </w:rPr>
      </w:pPr>
      <w:bookmarkStart w:id="57" w:name="_Toc230106875"/>
      <w:r>
        <w:rPr>
          <w:rFonts w:hint="eastAsia"/>
          <w:color w:val="auto"/>
        </w:rPr>
        <w:t>参考方案比选</w:t>
      </w:r>
      <w:bookmarkEnd w:id="57"/>
    </w:p>
    <w:p w14:paraId="52B7BE56">
      <w:pPr>
        <w:pStyle w:val="4"/>
        <w:rPr>
          <w:rFonts w:hint="eastAsia"/>
          <w:color w:val="auto"/>
        </w:rPr>
      </w:pPr>
      <w:bookmarkStart w:id="58" w:name="_Toc230106876"/>
      <w:r>
        <w:rPr>
          <w:color w:val="auto"/>
        </w:rPr>
        <w:t>某省会城市政务大数据平台升级</w:t>
      </w:r>
      <w:bookmarkEnd w:id="58"/>
    </w:p>
    <w:p w14:paraId="6E0DD9EF">
      <w:pPr>
        <w:pStyle w:val="42"/>
        <w:jc w:val="both"/>
        <w:rPr>
          <w:rFonts w:hint="eastAsia"/>
          <w:color w:val="auto"/>
        </w:rPr>
      </w:pPr>
      <w:r>
        <w:rPr>
          <w:color w:val="auto"/>
        </w:rPr>
        <w:t>某省会城市政务大数据平台原采用与浦东新区相似的Hadoop生态架构，建设时间较早，面临相近的技术老化和业务压力问题。该平台于202</w:t>
      </w:r>
      <w:r>
        <w:rPr>
          <w:rFonts w:hint="eastAsia"/>
          <w:color w:val="auto"/>
        </w:rPr>
        <w:t>5</w:t>
      </w:r>
      <w:r>
        <w:rPr>
          <w:color w:val="auto"/>
        </w:rPr>
        <w:t>年完成向Argodb MPP架构的升级改造，改造后取得以下核心成效：</w:t>
      </w:r>
    </w:p>
    <w:p w14:paraId="246E86DC">
      <w:pPr>
        <w:pStyle w:val="35"/>
        <w:widowControl/>
        <w:numPr>
          <w:ilvl w:val="0"/>
          <w:numId w:val="3"/>
        </w:numPr>
        <w:ind w:left="840" w:hanging="420"/>
        <w:contextualSpacing w:val="0"/>
        <w:rPr>
          <w:rFonts w:hint="eastAsia"/>
          <w:color w:val="auto"/>
        </w:rPr>
      </w:pPr>
      <w:r>
        <w:rPr>
          <w:rFonts w:ascii="仿宋" w:hAnsi="仿宋" w:cs="仿宋"/>
          <w:color w:val="auto"/>
        </w:rPr>
        <w:t>夜间批处理总耗时由原来的约10小时缩短至约4小时，节约时间窗口约60%，完全解决了批处理超时问题。</w:t>
      </w:r>
    </w:p>
    <w:p w14:paraId="3F386217">
      <w:pPr>
        <w:pStyle w:val="35"/>
        <w:widowControl/>
        <w:numPr>
          <w:ilvl w:val="0"/>
          <w:numId w:val="3"/>
        </w:numPr>
        <w:ind w:left="840" w:hanging="420"/>
        <w:contextualSpacing w:val="0"/>
        <w:rPr>
          <w:rFonts w:hint="eastAsia"/>
          <w:color w:val="auto"/>
        </w:rPr>
      </w:pPr>
      <w:r>
        <w:rPr>
          <w:rFonts w:ascii="仿宋" w:hAnsi="仿宋" w:cs="仿宋"/>
          <w:color w:val="auto"/>
        </w:rPr>
        <w:t>CPU资源消耗下降约65%-70%，在不增加服务器数量的情况下，计算资源利用效率大幅提升，原有服务器集群可以支撑更大的业务量。</w:t>
      </w:r>
    </w:p>
    <w:p w14:paraId="7117E0B9">
      <w:pPr>
        <w:pStyle w:val="35"/>
        <w:widowControl/>
        <w:numPr>
          <w:ilvl w:val="0"/>
          <w:numId w:val="3"/>
        </w:numPr>
        <w:ind w:left="840" w:hanging="420"/>
        <w:contextualSpacing w:val="0"/>
        <w:rPr>
          <w:rFonts w:hint="eastAsia"/>
          <w:color w:val="auto"/>
        </w:rPr>
      </w:pPr>
      <w:r>
        <w:rPr>
          <w:rFonts w:ascii="仿宋" w:hAnsi="仿宋" w:cs="仿宋"/>
          <w:color w:val="auto"/>
        </w:rPr>
        <w:t>平台实现了实时和离线一体化处理能力，领导驾驶舱数据刷新频次从小时级提升至分钟级，业务部门满意度显著提升。</w:t>
      </w:r>
    </w:p>
    <w:p w14:paraId="3C150747">
      <w:pPr>
        <w:pStyle w:val="35"/>
        <w:widowControl/>
        <w:numPr>
          <w:ilvl w:val="0"/>
          <w:numId w:val="3"/>
        </w:numPr>
        <w:ind w:left="840" w:hanging="420"/>
        <w:contextualSpacing w:val="0"/>
        <w:rPr>
          <w:rFonts w:hint="eastAsia"/>
          <w:color w:val="auto"/>
        </w:rPr>
      </w:pPr>
      <w:r>
        <w:rPr>
          <w:rFonts w:ascii="仿宋" w:hAnsi="仿宋" w:cs="仿宋"/>
          <w:color w:val="auto"/>
        </w:rPr>
        <w:t>顺利通过密评审核，完成了核心系统的信创改造，全面满足合规要求。</w:t>
      </w:r>
    </w:p>
    <w:p w14:paraId="0DC50231">
      <w:pPr>
        <w:pStyle w:val="4"/>
        <w:rPr>
          <w:rFonts w:hint="eastAsia"/>
          <w:color w:val="auto"/>
        </w:rPr>
      </w:pPr>
      <w:bookmarkStart w:id="59" w:name="_Toc230106877"/>
      <w:r>
        <w:rPr>
          <w:color w:val="auto"/>
        </w:rPr>
        <w:t>某地级市政务数据平台升级</w:t>
      </w:r>
      <w:bookmarkEnd w:id="59"/>
    </w:p>
    <w:p w14:paraId="59F1CBA5">
      <w:pPr>
        <w:pStyle w:val="42"/>
        <w:jc w:val="both"/>
        <w:rPr>
          <w:rFonts w:hint="eastAsia"/>
          <w:color w:val="auto"/>
        </w:rPr>
      </w:pPr>
      <w:r>
        <w:rPr>
          <w:color w:val="auto"/>
        </w:rPr>
        <w:t>某地级市政务数据平台于2022年完成平台升级，将原有Inceptor引擎全面替换为Argodb MPP引擎，同步完成操作系统和基础软件的国产化替代。升级成效如下：</w:t>
      </w:r>
    </w:p>
    <w:p w14:paraId="2C1E5B79">
      <w:pPr>
        <w:pStyle w:val="35"/>
        <w:widowControl/>
        <w:numPr>
          <w:ilvl w:val="0"/>
          <w:numId w:val="3"/>
        </w:numPr>
        <w:ind w:left="840" w:hanging="420"/>
        <w:contextualSpacing w:val="0"/>
        <w:rPr>
          <w:rFonts w:hint="eastAsia"/>
          <w:color w:val="auto"/>
        </w:rPr>
      </w:pPr>
      <w:r>
        <w:rPr>
          <w:rFonts w:ascii="仿宋" w:hAnsi="仿宋" w:cs="仿宋"/>
          <w:color w:val="auto"/>
        </w:rPr>
        <w:t>业务SQL平均执行效率提升约2-3倍，核心指标统计响应时间从分钟级降至秒级，大幅改善了上层业务系统的使用体验。</w:t>
      </w:r>
    </w:p>
    <w:p w14:paraId="23A80554">
      <w:pPr>
        <w:pStyle w:val="35"/>
        <w:widowControl/>
        <w:numPr>
          <w:ilvl w:val="0"/>
          <w:numId w:val="3"/>
        </w:numPr>
        <w:ind w:left="840" w:hanging="420"/>
        <w:contextualSpacing w:val="0"/>
        <w:rPr>
          <w:rFonts w:hint="eastAsia"/>
          <w:color w:val="auto"/>
        </w:rPr>
      </w:pPr>
      <w:r>
        <w:rPr>
          <w:rFonts w:ascii="仿宋" w:hAnsi="仿宋" w:cs="仿宋"/>
          <w:color w:val="auto"/>
        </w:rPr>
        <w:t>平台运维复杂度显著降低，由原来需要8名专业运维人员，缩减至4名即可维持日常运营，运维成本节约约50%。</w:t>
      </w:r>
    </w:p>
    <w:p w14:paraId="7FE12F38">
      <w:pPr>
        <w:pStyle w:val="35"/>
        <w:widowControl/>
        <w:numPr>
          <w:ilvl w:val="0"/>
          <w:numId w:val="3"/>
        </w:numPr>
        <w:ind w:left="840" w:hanging="420"/>
        <w:contextualSpacing w:val="0"/>
        <w:rPr>
          <w:rFonts w:hint="eastAsia"/>
          <w:color w:val="auto"/>
        </w:rPr>
      </w:pPr>
      <w:r>
        <w:rPr>
          <w:rFonts w:ascii="仿宋" w:hAnsi="仿宋" w:cs="仿宋"/>
          <w:color w:val="auto"/>
        </w:rPr>
        <w:t>平台稳定性明显提升，月均故障次数由原来的约5次降至约1次以下，故障恢复时间平均缩短约70%。</w:t>
      </w:r>
    </w:p>
    <w:p w14:paraId="7CDD7106">
      <w:pPr>
        <w:pStyle w:val="2"/>
        <w:rPr>
          <w:rFonts w:hint="eastAsia"/>
          <w:color w:val="auto"/>
        </w:rPr>
      </w:pPr>
      <w:bookmarkStart w:id="60" w:name="_Toc230106878"/>
      <w:r>
        <w:rPr>
          <w:rFonts w:hint="eastAsia"/>
          <w:color w:val="auto"/>
        </w:rPr>
        <w:t>考核指标及效益分析</w:t>
      </w:r>
      <w:bookmarkEnd w:id="60"/>
    </w:p>
    <w:p w14:paraId="5645F2C8">
      <w:pPr>
        <w:pStyle w:val="3"/>
        <w:rPr>
          <w:rFonts w:hint="eastAsia"/>
          <w:color w:val="auto"/>
        </w:rPr>
      </w:pPr>
      <w:bookmarkStart w:id="61" w:name="_Toc230106879"/>
      <w:r>
        <w:rPr>
          <w:color w:val="auto"/>
        </w:rPr>
        <w:t>技术成果</w:t>
      </w:r>
      <w:bookmarkEnd w:id="61"/>
    </w:p>
    <w:p w14:paraId="547FC962">
      <w:pPr>
        <w:pStyle w:val="35"/>
        <w:widowControl/>
        <w:numPr>
          <w:ilvl w:val="0"/>
          <w:numId w:val="5"/>
        </w:numPr>
        <w:ind w:left="840" w:hanging="420"/>
        <w:contextualSpacing w:val="0"/>
        <w:rPr>
          <w:rFonts w:hint="eastAsia"/>
          <w:color w:val="auto"/>
        </w:rPr>
      </w:pPr>
      <w:r>
        <w:rPr>
          <w:rFonts w:ascii="仿宋" w:hAnsi="仿宋" w:cs="仿宋"/>
          <w:color w:val="auto"/>
          <w:szCs w:val="22"/>
        </w:rPr>
        <w:t>建成基于TDC 5.1 + TDH 9.3 + ArgoDB 6.2的新一代政务大数据平台</w:t>
      </w:r>
      <w:r>
        <w:rPr>
          <w:rFonts w:hint="eastAsia" w:ascii="仿宋" w:hAnsi="仿宋" w:cs="仿宋"/>
          <w:color w:val="auto"/>
          <w:szCs w:val="22"/>
        </w:rPr>
        <w:t>。</w:t>
      </w:r>
    </w:p>
    <w:p w14:paraId="455D8F91">
      <w:pPr>
        <w:pStyle w:val="35"/>
        <w:widowControl/>
        <w:numPr>
          <w:ilvl w:val="0"/>
          <w:numId w:val="5"/>
        </w:numPr>
        <w:ind w:left="840" w:hanging="420"/>
        <w:contextualSpacing w:val="0"/>
        <w:rPr>
          <w:rFonts w:hint="eastAsia"/>
          <w:color w:val="auto"/>
        </w:rPr>
      </w:pPr>
      <w:r>
        <w:rPr>
          <w:rFonts w:ascii="仿宋" w:hAnsi="仿宋" w:cs="仿宋"/>
          <w:color w:val="auto"/>
          <w:szCs w:val="22"/>
        </w:rPr>
        <w:t>完成ARM信创节点纳管，实现关键软硬件国产化替代</w:t>
      </w:r>
      <w:r>
        <w:rPr>
          <w:rFonts w:hint="eastAsia" w:ascii="仿宋" w:hAnsi="仿宋" w:cs="仿宋"/>
          <w:color w:val="auto"/>
          <w:szCs w:val="22"/>
        </w:rPr>
        <w:t>。</w:t>
      </w:r>
    </w:p>
    <w:p w14:paraId="315974C9">
      <w:pPr>
        <w:pStyle w:val="35"/>
        <w:widowControl/>
        <w:numPr>
          <w:ilvl w:val="0"/>
          <w:numId w:val="5"/>
        </w:numPr>
        <w:ind w:left="840" w:hanging="420"/>
        <w:contextualSpacing w:val="0"/>
        <w:rPr>
          <w:rFonts w:hint="eastAsia"/>
          <w:color w:val="auto"/>
        </w:rPr>
      </w:pPr>
      <w:r>
        <w:rPr>
          <w:rFonts w:ascii="仿宋" w:hAnsi="仿宋" w:cs="仿宋"/>
          <w:color w:val="auto"/>
          <w:szCs w:val="22"/>
        </w:rPr>
        <w:t>平台查询性能整体提升5倍以上，夜间批处理时长缩短50%以上</w:t>
      </w:r>
      <w:r>
        <w:rPr>
          <w:rFonts w:hint="eastAsia" w:ascii="仿宋" w:hAnsi="仿宋" w:cs="仿宋"/>
          <w:color w:val="auto"/>
          <w:szCs w:val="22"/>
        </w:rPr>
        <w:t>。</w:t>
      </w:r>
    </w:p>
    <w:p w14:paraId="4FE204F5">
      <w:pPr>
        <w:pStyle w:val="35"/>
        <w:widowControl/>
        <w:numPr>
          <w:ilvl w:val="0"/>
          <w:numId w:val="5"/>
        </w:numPr>
        <w:ind w:left="840" w:hanging="420"/>
        <w:contextualSpacing w:val="0"/>
        <w:rPr>
          <w:rFonts w:hint="eastAsia"/>
          <w:color w:val="auto"/>
        </w:rPr>
      </w:pPr>
      <w:r>
        <w:rPr>
          <w:rFonts w:ascii="仿宋" w:hAnsi="仿宋" w:cs="仿宋"/>
          <w:color w:val="auto"/>
          <w:szCs w:val="22"/>
        </w:rPr>
        <w:t>建立完善的多租户资源管控体系，支持≥10个部门级租户独立运营</w:t>
      </w:r>
      <w:r>
        <w:rPr>
          <w:rFonts w:hint="eastAsia" w:ascii="仿宋" w:hAnsi="仿宋" w:cs="仿宋"/>
          <w:color w:val="auto"/>
          <w:szCs w:val="22"/>
        </w:rPr>
        <w:t>。</w:t>
      </w:r>
    </w:p>
    <w:p w14:paraId="2CE4FEDA">
      <w:pPr>
        <w:pStyle w:val="35"/>
        <w:widowControl/>
        <w:numPr>
          <w:ilvl w:val="0"/>
          <w:numId w:val="5"/>
        </w:numPr>
        <w:ind w:left="840" w:hanging="420"/>
        <w:contextualSpacing w:val="0"/>
        <w:rPr>
          <w:rFonts w:hint="eastAsia"/>
          <w:color w:val="auto"/>
        </w:rPr>
      </w:pPr>
      <w:r>
        <w:rPr>
          <w:rFonts w:ascii="仿宋" w:hAnsi="仿宋" w:cs="仿宋"/>
          <w:color w:val="auto"/>
          <w:szCs w:val="22"/>
        </w:rPr>
        <w:t>完成数据透明加密和KMS对接，全面采用国产密码算法</w:t>
      </w:r>
      <w:r>
        <w:rPr>
          <w:rFonts w:hint="eastAsia" w:ascii="仿宋" w:hAnsi="仿宋" w:cs="仿宋"/>
          <w:color w:val="auto"/>
          <w:szCs w:val="22"/>
        </w:rPr>
        <w:t>。</w:t>
      </w:r>
    </w:p>
    <w:p w14:paraId="6811AE7C">
      <w:pPr>
        <w:pStyle w:val="35"/>
        <w:widowControl/>
        <w:numPr>
          <w:ilvl w:val="0"/>
          <w:numId w:val="5"/>
        </w:numPr>
        <w:ind w:left="840" w:hanging="420"/>
        <w:contextualSpacing w:val="0"/>
        <w:rPr>
          <w:rFonts w:hint="eastAsia"/>
          <w:color w:val="auto"/>
        </w:rPr>
      </w:pPr>
      <w:r>
        <w:rPr>
          <w:rFonts w:ascii="仿宋" w:hAnsi="仿宋" w:cs="仿宋"/>
          <w:color w:val="auto"/>
          <w:szCs w:val="22"/>
        </w:rPr>
        <w:t>通过等保三级测评和密评</w:t>
      </w:r>
      <w:r>
        <w:rPr>
          <w:rFonts w:hint="eastAsia" w:ascii="仿宋" w:hAnsi="仿宋" w:cs="仿宋"/>
          <w:color w:val="auto"/>
          <w:szCs w:val="22"/>
        </w:rPr>
        <w:t>。</w:t>
      </w:r>
    </w:p>
    <w:p w14:paraId="095FBB38">
      <w:pPr>
        <w:pStyle w:val="3"/>
        <w:rPr>
          <w:rFonts w:hint="eastAsia"/>
          <w:color w:val="auto"/>
        </w:rPr>
      </w:pPr>
      <w:bookmarkStart w:id="62" w:name="_Toc230106880"/>
      <w:r>
        <w:rPr>
          <w:color w:val="auto"/>
        </w:rPr>
        <w:t>管理成果</w:t>
      </w:r>
      <w:bookmarkEnd w:id="62"/>
    </w:p>
    <w:p w14:paraId="389E0399">
      <w:pPr>
        <w:pStyle w:val="35"/>
        <w:widowControl/>
        <w:numPr>
          <w:ilvl w:val="0"/>
          <w:numId w:val="5"/>
        </w:numPr>
        <w:ind w:left="840" w:hanging="420"/>
        <w:contextualSpacing w:val="0"/>
        <w:rPr>
          <w:rFonts w:hint="eastAsia"/>
          <w:color w:val="auto"/>
        </w:rPr>
      </w:pPr>
      <w:r>
        <w:rPr>
          <w:rFonts w:ascii="仿宋" w:hAnsi="仿宋" w:cs="仿宋"/>
          <w:color w:val="auto"/>
          <w:szCs w:val="22"/>
        </w:rPr>
        <w:t>完成升级全过程零业务中断，充分验证了大型政务数据平台迁移的可行路径</w:t>
      </w:r>
      <w:r>
        <w:rPr>
          <w:rFonts w:hint="eastAsia" w:ascii="仿宋" w:hAnsi="仿宋" w:cs="仿宋"/>
          <w:color w:val="auto"/>
          <w:szCs w:val="22"/>
        </w:rPr>
        <w:t>。</w:t>
      </w:r>
    </w:p>
    <w:p w14:paraId="20FCDD86">
      <w:pPr>
        <w:pStyle w:val="35"/>
        <w:widowControl/>
        <w:numPr>
          <w:ilvl w:val="0"/>
          <w:numId w:val="5"/>
        </w:numPr>
        <w:ind w:left="840" w:hanging="420"/>
        <w:contextualSpacing w:val="0"/>
        <w:rPr>
          <w:rFonts w:hint="eastAsia"/>
          <w:color w:val="auto"/>
        </w:rPr>
      </w:pPr>
      <w:r>
        <w:rPr>
          <w:rFonts w:ascii="仿宋" w:hAnsi="仿宋" w:cs="仿宋"/>
          <w:color w:val="auto"/>
          <w:szCs w:val="22"/>
        </w:rPr>
        <w:t>积累了信创大数据平台建设的完整经验，形成可复用的实施方法论</w:t>
      </w:r>
      <w:r>
        <w:rPr>
          <w:rFonts w:hint="eastAsia" w:ascii="仿宋" w:hAnsi="仿宋" w:cs="仿宋"/>
          <w:color w:val="auto"/>
          <w:szCs w:val="22"/>
        </w:rPr>
        <w:t>。</w:t>
      </w:r>
    </w:p>
    <w:p w14:paraId="1FCB2876">
      <w:pPr>
        <w:pStyle w:val="35"/>
        <w:widowControl/>
        <w:numPr>
          <w:ilvl w:val="0"/>
          <w:numId w:val="5"/>
        </w:numPr>
        <w:ind w:left="840" w:hanging="420"/>
        <w:contextualSpacing w:val="0"/>
        <w:rPr>
          <w:rFonts w:hint="eastAsia"/>
          <w:color w:val="auto"/>
        </w:rPr>
      </w:pPr>
      <w:r>
        <w:rPr>
          <w:rFonts w:ascii="仿宋" w:hAnsi="仿宋" w:cs="仿宋"/>
          <w:color w:val="auto"/>
          <w:szCs w:val="22"/>
        </w:rPr>
        <w:t>完成全面运维交接，甲方运维团队具备独立运营新平台的能力</w:t>
      </w:r>
      <w:r>
        <w:rPr>
          <w:rFonts w:hint="eastAsia" w:ascii="仿宋" w:hAnsi="仿宋" w:cs="仿宋"/>
          <w:color w:val="auto"/>
          <w:szCs w:val="22"/>
        </w:rPr>
        <w:t>。</w:t>
      </w:r>
    </w:p>
    <w:p w14:paraId="4FDBF4FB">
      <w:pPr>
        <w:pStyle w:val="35"/>
        <w:widowControl/>
        <w:numPr>
          <w:ilvl w:val="0"/>
          <w:numId w:val="5"/>
        </w:numPr>
        <w:ind w:left="840" w:hanging="420"/>
        <w:contextualSpacing w:val="0"/>
        <w:rPr>
          <w:rFonts w:hint="eastAsia"/>
          <w:color w:val="auto"/>
        </w:rPr>
      </w:pPr>
      <w:r>
        <w:rPr>
          <w:rFonts w:ascii="仿宋" w:hAnsi="仿宋" w:cs="仿宋"/>
          <w:color w:val="auto"/>
          <w:szCs w:val="22"/>
        </w:rPr>
        <w:t>建立健全的平台治理体系，为后续数字政务建设提供持续稳定的数据底座支撑</w:t>
      </w:r>
      <w:r>
        <w:rPr>
          <w:rFonts w:hint="eastAsia" w:ascii="仿宋" w:hAnsi="仿宋" w:cs="仿宋"/>
          <w:color w:val="auto"/>
          <w:szCs w:val="22"/>
        </w:rPr>
        <w:t>。</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仿宋">
    <w:altName w:val="仿宋-简"/>
    <w:panose1 w:val="02010609060101010101"/>
    <w:charset w:val="86"/>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等线 Light">
    <w:altName w:val="汉仪中等线KW"/>
    <w:panose1 w:val="02010600030101010101"/>
    <w:charset w:val="86"/>
    <w:family w:val="auto"/>
    <w:pitch w:val="default"/>
    <w:sig w:usb0="00000000" w:usb1="00000000" w:usb2="00000016" w:usb3="00000000" w:csb0="0004000F"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等线 Light">
    <w:altName w:val="汉仪中等线KW"/>
    <w:panose1 w:val="00000000000000000000"/>
    <w:charset w:val="00"/>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sdtPr>
    <w:sdtContent>
      <w:sdt>
        <w:sdtPr>
          <w:id w:val="1931921262"/>
        </w:sdtPr>
        <w:sdtContent>
          <w:p w14:paraId="1653E533">
            <w:pPr>
              <w:pStyle w:val="12"/>
              <w:ind w:firstLine="360"/>
              <w:jc w:val="center"/>
              <w:rPr>
                <w:rFonts w:hint="eastAsia"/>
              </w:rP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2B8C978A">
    <w:pPr>
      <w:pStyle w:val="12"/>
      <w:ind w:firstLine="360"/>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A830F2">
    <w:pPr>
      <w:pStyle w:val="12"/>
      <w:ind w:firstLine="360"/>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2C519">
    <w:pPr>
      <w:pStyle w:val="12"/>
      <w:ind w:firstLine="360"/>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36472">
    <w:pPr>
      <w:pStyle w:val="13"/>
      <w:pBdr>
        <w:bottom w:val="none" w:color="auto" w:sz="0" w:space="1"/>
      </w:pBdr>
      <w:ind w:firstLine="360"/>
      <w:rPr>
        <w:rFonts w:hint="eastAsia"/>
      </w:rPr>
    </w:pPr>
    <w:r>
      <w:rPr>
        <w:rFonts w:hint="eastAsia"/>
      </w:rPr>
      <w:t>浦东新区</w:t>
    </w:r>
    <w:r>
      <w:rPr>
        <w:rFonts w:hint="eastAsia"/>
        <w:lang w:val="en-US" w:eastAsia="zh-CN"/>
      </w:rPr>
      <w:t>数据支撑子系统信创</w:t>
    </w:r>
    <w:r>
      <w:rPr>
        <w:rFonts w:hint="eastAsia"/>
      </w:rPr>
      <w:t>升级可行性研究报告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34FCE">
    <w:pPr>
      <w:pStyle w:val="13"/>
      <w:ind w:firstLine="360"/>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6D1A73">
    <w:pPr>
      <w:pStyle w:val="13"/>
      <w:pBdr>
        <w:bottom w:val="none" w:color="auto" w:sz="0" w:space="1"/>
      </w:pBdr>
      <w:ind w:firstLine="360"/>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175DA5"/>
    <w:multiLevelType w:val="multilevel"/>
    <w:tmpl w:val="FF175DA5"/>
    <w:lvl w:ilvl="0" w:tentative="0">
      <w:start w:val="1"/>
      <w:numFmt w:val="bullet"/>
      <w:lvlText w:val="●"/>
      <w:lvlJc w:val="left"/>
      <w:pPr>
        <w:ind w:left="560" w:hanging="280"/>
      </w:pPr>
      <w:rPr>
        <w:sz w:val="24"/>
        <w:szCs w:val="24"/>
      </w:rPr>
    </w:lvl>
    <w:lvl w:ilvl="1" w:tentative="0">
      <w:start w:val="1"/>
      <w:numFmt w:val="bullet"/>
      <w:lvlText w:val="○"/>
      <w:lvlJc w:val="left"/>
      <w:pPr>
        <w:ind w:left="900" w:hanging="280"/>
      </w:pPr>
      <w:rPr>
        <w:rFonts w:ascii="Symbol" w:hAnsi="Symbol" w:eastAsia="Symbol" w:cs="Symbol"/>
        <w:sz w:val="22"/>
        <w:szCs w:val="22"/>
      </w:r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1BF96529"/>
    <w:multiLevelType w:val="singleLevel"/>
    <w:tmpl w:val="1BF96529"/>
    <w:lvl w:ilvl="0" w:tentative="0">
      <w:start w:val="1"/>
      <w:numFmt w:val="decimal"/>
      <w:lvlText w:val="%1."/>
      <w:lvlJc w:val="left"/>
      <w:pPr>
        <w:ind w:left="440" w:hanging="280"/>
      </w:pPr>
    </w:lvl>
  </w:abstractNum>
  <w:abstractNum w:abstractNumId="2">
    <w:nsid w:val="2B1FAD3E"/>
    <w:multiLevelType w:val="singleLevel"/>
    <w:tmpl w:val="2B1FAD3E"/>
    <w:lvl w:ilvl="0" w:tentative="0">
      <w:start w:val="1"/>
      <w:numFmt w:val="bullet"/>
      <w:lvlText w:val="●"/>
      <w:lvlJc w:val="left"/>
      <w:pPr>
        <w:ind w:left="440" w:hanging="280"/>
      </w:pPr>
    </w:lvl>
  </w:abstractNum>
  <w:abstractNum w:abstractNumId="3">
    <w:nsid w:val="36243CC6"/>
    <w:multiLevelType w:val="singleLevel"/>
    <w:tmpl w:val="36243CC6"/>
    <w:lvl w:ilvl="0" w:tentative="0">
      <w:start w:val="1"/>
      <w:numFmt w:val="decimal"/>
      <w:lvlText w:val="%1."/>
      <w:lvlJc w:val="left"/>
      <w:pPr>
        <w:ind w:left="440" w:hanging="280"/>
      </w:pPr>
    </w:lvl>
  </w:abstractNum>
  <w:abstractNum w:abstractNumId="4">
    <w:nsid w:val="385D07B2"/>
    <w:multiLevelType w:val="singleLevel"/>
    <w:tmpl w:val="385D07B2"/>
    <w:lvl w:ilvl="0" w:tentative="0">
      <w:start w:val="1"/>
      <w:numFmt w:val="decimal"/>
      <w:lvlText w:val="%1."/>
      <w:lvlJc w:val="left"/>
      <w:pPr>
        <w:ind w:left="440" w:hanging="280"/>
      </w:pPr>
    </w:lvl>
  </w:abstractNum>
  <w:abstractNum w:abstractNumId="5">
    <w:nsid w:val="3BDF3E4A"/>
    <w:multiLevelType w:val="singleLevel"/>
    <w:tmpl w:val="3BDF3E4A"/>
    <w:lvl w:ilvl="0" w:tentative="0">
      <w:start w:val="1"/>
      <w:numFmt w:val="decimal"/>
      <w:lvlText w:val="%1."/>
      <w:lvlJc w:val="left"/>
      <w:pPr>
        <w:ind w:left="440" w:hanging="280"/>
      </w:pPr>
    </w:lvl>
  </w:abstractNum>
  <w:abstractNum w:abstractNumId="6">
    <w:nsid w:val="51FD2F7E"/>
    <w:multiLevelType w:val="singleLevel"/>
    <w:tmpl w:val="51FD2F7E"/>
    <w:lvl w:ilvl="0" w:tentative="0">
      <w:start w:val="1"/>
      <w:numFmt w:val="decimal"/>
      <w:lvlText w:val="%1."/>
      <w:lvlJc w:val="left"/>
      <w:pPr>
        <w:ind w:left="440" w:hanging="280"/>
      </w:pPr>
    </w:lvl>
  </w:abstractNum>
  <w:abstractNum w:abstractNumId="7">
    <w:nsid w:val="56400B78"/>
    <w:multiLevelType w:val="multilevel"/>
    <w:tmpl w:val="56400B78"/>
    <w:lvl w:ilvl="0" w:tentative="0">
      <w:start w:val="1"/>
      <w:numFmt w:val="chineseCountingThousand"/>
      <w:pStyle w:val="2"/>
      <w:suff w:val="space"/>
      <w:lvlText w:val="第%1章"/>
      <w:lvlJc w:val="left"/>
      <w:pPr>
        <w:ind w:left="425" w:hanging="425"/>
      </w:pPr>
      <w:rPr>
        <w:rFonts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1" w:tentative="0">
      <w:start w:val="1"/>
      <w:numFmt w:val="decimal"/>
      <w:pStyle w:val="3"/>
      <w:isLgl/>
      <w:suff w:val="space"/>
      <w:lvlText w:val="%1.%2"/>
      <w:lvlJc w:val="left"/>
      <w:pPr>
        <w:ind w:left="0" w:firstLine="0"/>
      </w:pPr>
      <w:rPr>
        <w:rFonts w:hint="eastAsia"/>
      </w:rPr>
    </w:lvl>
    <w:lvl w:ilvl="2" w:tentative="0">
      <w:start w:val="1"/>
      <w:numFmt w:val="decimal"/>
      <w:pStyle w:val="4"/>
      <w:isLgl/>
      <w:suff w:val="space"/>
      <w:lvlText w:val="%1.%2.%3"/>
      <w:lvlJc w:val="left"/>
      <w:pPr>
        <w:ind w:left="0" w:firstLine="0"/>
      </w:pPr>
      <w:rPr>
        <w:rFonts w:hint="eastAsia"/>
      </w:rPr>
    </w:lvl>
    <w:lvl w:ilvl="3" w:tentative="0">
      <w:start w:val="1"/>
      <w:numFmt w:val="decimal"/>
      <w:pStyle w:val="5"/>
      <w:isLgl/>
      <w:suff w:val="space"/>
      <w:lvlText w:val="%1.%2.%3.%4"/>
      <w:lvlJc w:val="left"/>
      <w:pPr>
        <w:ind w:left="4252" w:firstLine="0"/>
      </w:pPr>
      <w:rPr>
        <w:rFonts w:hint="eastAsia"/>
      </w:rPr>
    </w:lvl>
    <w:lvl w:ilvl="4" w:tentative="0">
      <w:start w:val="1"/>
      <w:numFmt w:val="decimal"/>
      <w:pStyle w:val="6"/>
      <w:isLgl/>
      <w:suff w:val="space"/>
      <w:lvlText w:val="%1.%2.%3.%4.%5"/>
      <w:lvlJc w:val="left"/>
      <w:pPr>
        <w:ind w:left="0" w:firstLine="0"/>
      </w:pPr>
      <w:rPr>
        <w:rFonts w:hint="eastAsia"/>
      </w:rPr>
    </w:lvl>
    <w:lvl w:ilvl="5" w:tentative="0">
      <w:start w:val="1"/>
      <w:numFmt w:val="decimal"/>
      <w:pStyle w:val="7"/>
      <w:isLgl/>
      <w:suff w:val="space"/>
      <w:lvlText w:val="%1.%2.%3.%4.%5.%6"/>
      <w:lvlJc w:val="left"/>
      <w:pPr>
        <w:ind w:left="0" w:firstLine="0"/>
      </w:pPr>
      <w:rPr>
        <w:rFonts w:hint="eastAsia"/>
      </w:rPr>
    </w:lvl>
    <w:lvl w:ilvl="6" w:tentative="0">
      <w:start w:val="1"/>
      <w:numFmt w:val="decimal"/>
      <w:pStyle w:val="8"/>
      <w:isLgl/>
      <w:suff w:val="space"/>
      <w:lvlText w:val="%1.%2.%3.%4.%5.%6.%7"/>
      <w:lvlJc w:val="left"/>
      <w:pPr>
        <w:ind w:left="0" w:firstLine="0"/>
      </w:pPr>
      <w:rPr>
        <w:rFonts w:hint="eastAsia"/>
      </w:rPr>
    </w:lvl>
    <w:lvl w:ilvl="7" w:tentative="0">
      <w:start w:val="1"/>
      <w:numFmt w:val="decimal"/>
      <w:pStyle w:val="9"/>
      <w:isLgl/>
      <w:suff w:val="space"/>
      <w:lvlText w:val="%1.%2.%3.%4.%5.%6.%7.%8"/>
      <w:lvlJc w:val="left"/>
      <w:pPr>
        <w:ind w:left="0" w:firstLine="0"/>
      </w:pPr>
      <w:rPr>
        <w:rFonts w:hint="eastAsia"/>
      </w:rPr>
    </w:lvl>
    <w:lvl w:ilvl="8" w:tentative="0">
      <w:start w:val="1"/>
      <w:numFmt w:val="decimal"/>
      <w:pStyle w:val="10"/>
      <w:isLgl/>
      <w:suff w:val="space"/>
      <w:lvlText w:val="%1.%2.%3.%4.%5.%6.%7.%8.%9"/>
      <w:lvlJc w:val="left"/>
      <w:pPr>
        <w:ind w:left="0" w:firstLine="0"/>
      </w:pPr>
      <w:rPr>
        <w:rFonts w:hint="eastAsia"/>
      </w:rPr>
    </w:lvl>
  </w:abstractNum>
  <w:abstractNum w:abstractNumId="8">
    <w:nsid w:val="5CB67D83"/>
    <w:multiLevelType w:val="singleLevel"/>
    <w:tmpl w:val="5CB67D83"/>
    <w:lvl w:ilvl="0" w:tentative="0">
      <w:start w:val="1"/>
      <w:numFmt w:val="decimal"/>
      <w:lvlText w:val="%1."/>
      <w:lvlJc w:val="left"/>
      <w:pPr>
        <w:ind w:left="440" w:hanging="280"/>
      </w:pPr>
    </w:lvl>
  </w:abstractNum>
  <w:abstractNum w:abstractNumId="9">
    <w:nsid w:val="5CC953EE"/>
    <w:multiLevelType w:val="singleLevel"/>
    <w:tmpl w:val="5CC953EE"/>
    <w:lvl w:ilvl="0" w:tentative="0">
      <w:start w:val="1"/>
      <w:numFmt w:val="decimal"/>
      <w:lvlText w:val="%1."/>
      <w:lvlJc w:val="left"/>
      <w:pPr>
        <w:ind w:left="440" w:hanging="280"/>
      </w:pPr>
    </w:lvl>
  </w:abstractNum>
  <w:abstractNum w:abstractNumId="10">
    <w:nsid w:val="628D1285"/>
    <w:multiLevelType w:val="singleLevel"/>
    <w:tmpl w:val="628D1285"/>
    <w:lvl w:ilvl="0" w:tentative="0">
      <w:start w:val="1"/>
      <w:numFmt w:val="decimal"/>
      <w:lvlText w:val="%1."/>
      <w:lvlJc w:val="left"/>
      <w:pPr>
        <w:ind w:left="440" w:hanging="280"/>
      </w:pPr>
    </w:lvl>
  </w:abstractNum>
  <w:abstractNum w:abstractNumId="11">
    <w:nsid w:val="686D6AFE"/>
    <w:multiLevelType w:val="multilevel"/>
    <w:tmpl w:val="686D6AFE"/>
    <w:lvl w:ilvl="0" w:tentative="0">
      <w:start w:val="1"/>
      <w:numFmt w:val="bullet"/>
      <w:lvlText w:val="●"/>
      <w:lvlJc w:val="left"/>
      <w:pPr>
        <w:ind w:left="920" w:hanging="440"/>
      </w:p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2">
    <w:nsid w:val="73B35C14"/>
    <w:multiLevelType w:val="multilevel"/>
    <w:tmpl w:val="73B35C14"/>
    <w:lvl w:ilvl="0" w:tentative="0">
      <w:start w:val="1"/>
      <w:numFmt w:val="bullet"/>
      <w:lvlText w:val="●"/>
      <w:lvlJc w:val="left"/>
      <w:pPr>
        <w:ind w:left="860" w:hanging="440"/>
      </w:p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num w:numId="1">
    <w:abstractNumId w:val="7"/>
  </w:num>
  <w:num w:numId="2">
    <w:abstractNumId w:val="11"/>
  </w:num>
  <w:num w:numId="3">
    <w:abstractNumId w:val="0"/>
  </w:num>
  <w:num w:numId="4">
    <w:abstractNumId w:val="12"/>
  </w:num>
  <w:num w:numId="5">
    <w:abstractNumId w:val="2"/>
    <w:lvlOverride w:ilvl="0">
      <w:startOverride w:val="1"/>
    </w:lvlOverride>
  </w:num>
  <w:num w:numId="6">
    <w:abstractNumId w:val="5"/>
    <w:lvlOverride w:ilvl="0">
      <w:startOverride w:val="1"/>
    </w:lvlOverride>
  </w:num>
  <w:num w:numId="7">
    <w:abstractNumId w:val="8"/>
  </w:num>
  <w:num w:numId="8">
    <w:abstractNumId w:val="10"/>
  </w:num>
  <w:num w:numId="9">
    <w:abstractNumId w:val="3"/>
  </w:num>
  <w:num w:numId="10">
    <w:abstractNumId w:val="1"/>
  </w:num>
  <w:num w:numId="11">
    <w:abstractNumId w:val="9"/>
  </w:num>
  <w:num w:numId="12">
    <w:abstractNumId w:val="6"/>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3C89"/>
    <w:rsid w:val="00024C55"/>
    <w:rsid w:val="000620C0"/>
    <w:rsid w:val="00085DF4"/>
    <w:rsid w:val="000A5760"/>
    <w:rsid w:val="000D0C01"/>
    <w:rsid w:val="000E05D1"/>
    <w:rsid w:val="000E1F6E"/>
    <w:rsid w:val="000E3B9D"/>
    <w:rsid w:val="000E3CAB"/>
    <w:rsid w:val="000F359F"/>
    <w:rsid w:val="00103B17"/>
    <w:rsid w:val="00107D78"/>
    <w:rsid w:val="00111D7E"/>
    <w:rsid w:val="001124D0"/>
    <w:rsid w:val="00130641"/>
    <w:rsid w:val="0013583F"/>
    <w:rsid w:val="00161E43"/>
    <w:rsid w:val="001C1998"/>
    <w:rsid w:val="001F3C89"/>
    <w:rsid w:val="00205A9D"/>
    <w:rsid w:val="00223C74"/>
    <w:rsid w:val="00256AA6"/>
    <w:rsid w:val="0027028E"/>
    <w:rsid w:val="002702D2"/>
    <w:rsid w:val="00277B74"/>
    <w:rsid w:val="002A4552"/>
    <w:rsid w:val="002F6D5B"/>
    <w:rsid w:val="00344F25"/>
    <w:rsid w:val="00356266"/>
    <w:rsid w:val="00363BD8"/>
    <w:rsid w:val="00382322"/>
    <w:rsid w:val="003A7AEB"/>
    <w:rsid w:val="003E77A2"/>
    <w:rsid w:val="00401494"/>
    <w:rsid w:val="00405F73"/>
    <w:rsid w:val="00471C25"/>
    <w:rsid w:val="004A1DFC"/>
    <w:rsid w:val="004A4A81"/>
    <w:rsid w:val="004D1853"/>
    <w:rsid w:val="004D34EB"/>
    <w:rsid w:val="004E10DE"/>
    <w:rsid w:val="004F10E3"/>
    <w:rsid w:val="00504C17"/>
    <w:rsid w:val="005151AF"/>
    <w:rsid w:val="00517F9C"/>
    <w:rsid w:val="0054283C"/>
    <w:rsid w:val="00544072"/>
    <w:rsid w:val="00551F0A"/>
    <w:rsid w:val="00570462"/>
    <w:rsid w:val="0057756F"/>
    <w:rsid w:val="005806F8"/>
    <w:rsid w:val="00580827"/>
    <w:rsid w:val="005A559F"/>
    <w:rsid w:val="005C66EC"/>
    <w:rsid w:val="0061044C"/>
    <w:rsid w:val="00626FC4"/>
    <w:rsid w:val="00684E9C"/>
    <w:rsid w:val="006A20A1"/>
    <w:rsid w:val="006E7F83"/>
    <w:rsid w:val="007065E8"/>
    <w:rsid w:val="0072066B"/>
    <w:rsid w:val="00737A69"/>
    <w:rsid w:val="00752BEF"/>
    <w:rsid w:val="007D2C5E"/>
    <w:rsid w:val="00836763"/>
    <w:rsid w:val="00846F42"/>
    <w:rsid w:val="00876863"/>
    <w:rsid w:val="008D2F48"/>
    <w:rsid w:val="008F75F0"/>
    <w:rsid w:val="00900D25"/>
    <w:rsid w:val="00907A25"/>
    <w:rsid w:val="009115E1"/>
    <w:rsid w:val="00935850"/>
    <w:rsid w:val="009416EA"/>
    <w:rsid w:val="009543F6"/>
    <w:rsid w:val="00982B85"/>
    <w:rsid w:val="009B30C9"/>
    <w:rsid w:val="009B4C24"/>
    <w:rsid w:val="009C5357"/>
    <w:rsid w:val="00A26397"/>
    <w:rsid w:val="00A5118E"/>
    <w:rsid w:val="00A54230"/>
    <w:rsid w:val="00A907EE"/>
    <w:rsid w:val="00A9482E"/>
    <w:rsid w:val="00A966B5"/>
    <w:rsid w:val="00AA12DA"/>
    <w:rsid w:val="00AA4291"/>
    <w:rsid w:val="00AA5A14"/>
    <w:rsid w:val="00AD0BB5"/>
    <w:rsid w:val="00AD4981"/>
    <w:rsid w:val="00AD4BAC"/>
    <w:rsid w:val="00AF391E"/>
    <w:rsid w:val="00B153C7"/>
    <w:rsid w:val="00B1575A"/>
    <w:rsid w:val="00B41EF0"/>
    <w:rsid w:val="00B60E0C"/>
    <w:rsid w:val="00B827EF"/>
    <w:rsid w:val="00BD21DE"/>
    <w:rsid w:val="00BE3996"/>
    <w:rsid w:val="00BE49FF"/>
    <w:rsid w:val="00C10BC9"/>
    <w:rsid w:val="00C14373"/>
    <w:rsid w:val="00C225C5"/>
    <w:rsid w:val="00CD122F"/>
    <w:rsid w:val="00CF5228"/>
    <w:rsid w:val="00D04A9D"/>
    <w:rsid w:val="00D3233E"/>
    <w:rsid w:val="00D41F52"/>
    <w:rsid w:val="00D4378B"/>
    <w:rsid w:val="00D72DCF"/>
    <w:rsid w:val="00D834B4"/>
    <w:rsid w:val="00DD07A0"/>
    <w:rsid w:val="00DF1054"/>
    <w:rsid w:val="00DF1AF4"/>
    <w:rsid w:val="00E04A24"/>
    <w:rsid w:val="00E230A3"/>
    <w:rsid w:val="00E432CC"/>
    <w:rsid w:val="00E53DF8"/>
    <w:rsid w:val="00E54BC5"/>
    <w:rsid w:val="00E77D13"/>
    <w:rsid w:val="00E831CB"/>
    <w:rsid w:val="00E92290"/>
    <w:rsid w:val="00E94047"/>
    <w:rsid w:val="00ED5673"/>
    <w:rsid w:val="00F241AD"/>
    <w:rsid w:val="00F317A8"/>
    <w:rsid w:val="00F545A2"/>
    <w:rsid w:val="00F67234"/>
    <w:rsid w:val="00F94571"/>
    <w:rsid w:val="00FA1A52"/>
    <w:rsid w:val="00FB771A"/>
    <w:rsid w:val="00FC09C3"/>
    <w:rsid w:val="00FD49AA"/>
    <w:rsid w:val="00FD6FB6"/>
    <w:rsid w:val="00FE296D"/>
    <w:rsid w:val="00FF52B8"/>
    <w:rsid w:val="12AF6FD5"/>
    <w:rsid w:val="3BF93D2C"/>
    <w:rsid w:val="7FCB51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pPr>
    <w:rPr>
      <w:rFonts w:eastAsia="仿宋" w:asciiTheme="minorHAnsi" w:hAnsiTheme="minorHAnsi" w:cstheme="minorBidi"/>
      <w:kern w:val="2"/>
      <w:sz w:val="24"/>
      <w:szCs w:val="24"/>
      <w:lang w:val="en-US" w:eastAsia="zh-CN" w:bidi="ar-SA"/>
      <w14:ligatures w14:val="standardContextual"/>
    </w:rPr>
  </w:style>
  <w:style w:type="paragraph" w:styleId="2">
    <w:name w:val="heading 1"/>
    <w:basedOn w:val="1"/>
    <w:next w:val="1"/>
    <w:link w:val="22"/>
    <w:qFormat/>
    <w:uiPriority w:val="0"/>
    <w:pPr>
      <w:keepNext/>
      <w:keepLines/>
      <w:numPr>
        <w:ilvl w:val="0"/>
        <w:numId w:val="1"/>
      </w:numPr>
      <w:spacing w:before="480" w:after="80"/>
      <w:outlineLvl w:val="0"/>
    </w:pPr>
    <w:rPr>
      <w:rFonts w:asciiTheme="majorHAnsi" w:hAnsiTheme="majorHAnsi" w:cstheme="majorBidi"/>
      <w:sz w:val="44"/>
      <w:szCs w:val="48"/>
    </w:rPr>
  </w:style>
  <w:style w:type="paragraph" w:styleId="3">
    <w:name w:val="heading 2"/>
    <w:basedOn w:val="1"/>
    <w:next w:val="1"/>
    <w:link w:val="23"/>
    <w:unhideWhenUsed/>
    <w:qFormat/>
    <w:uiPriority w:val="0"/>
    <w:pPr>
      <w:keepNext/>
      <w:keepLines/>
      <w:numPr>
        <w:ilvl w:val="1"/>
        <w:numId w:val="1"/>
      </w:numPr>
      <w:spacing w:before="160" w:after="80"/>
      <w:outlineLvl w:val="1"/>
    </w:pPr>
    <w:rPr>
      <w:rFonts w:asciiTheme="majorHAnsi" w:hAnsiTheme="majorHAnsi" w:cstheme="majorBidi"/>
      <w:sz w:val="32"/>
      <w:szCs w:val="40"/>
    </w:rPr>
  </w:style>
  <w:style w:type="paragraph" w:styleId="4">
    <w:name w:val="heading 3"/>
    <w:basedOn w:val="1"/>
    <w:next w:val="1"/>
    <w:link w:val="24"/>
    <w:unhideWhenUsed/>
    <w:qFormat/>
    <w:uiPriority w:val="0"/>
    <w:pPr>
      <w:keepNext/>
      <w:keepLines/>
      <w:numPr>
        <w:ilvl w:val="2"/>
        <w:numId w:val="1"/>
      </w:numPr>
      <w:spacing w:before="160" w:after="80"/>
      <w:outlineLvl w:val="2"/>
    </w:pPr>
    <w:rPr>
      <w:rFonts w:asciiTheme="majorHAnsi" w:hAnsiTheme="majorHAnsi" w:cstheme="majorBidi"/>
      <w:sz w:val="30"/>
      <w:szCs w:val="32"/>
    </w:rPr>
  </w:style>
  <w:style w:type="paragraph" w:styleId="5">
    <w:name w:val="heading 4"/>
    <w:basedOn w:val="1"/>
    <w:next w:val="1"/>
    <w:link w:val="25"/>
    <w:unhideWhenUsed/>
    <w:qFormat/>
    <w:uiPriority w:val="0"/>
    <w:pPr>
      <w:keepNext/>
      <w:keepLines/>
      <w:numPr>
        <w:ilvl w:val="3"/>
        <w:numId w:val="1"/>
      </w:numPr>
      <w:ind w:left="0"/>
      <w:jc w:val="both"/>
      <w:outlineLvl w:val="3"/>
    </w:pPr>
    <w:rPr>
      <w:rFonts w:cstheme="majorBidi"/>
      <w:szCs w:val="28"/>
    </w:rPr>
  </w:style>
  <w:style w:type="paragraph" w:styleId="6">
    <w:name w:val="heading 5"/>
    <w:basedOn w:val="1"/>
    <w:next w:val="1"/>
    <w:link w:val="26"/>
    <w:unhideWhenUsed/>
    <w:qFormat/>
    <w:uiPriority w:val="9"/>
    <w:pPr>
      <w:keepNext/>
      <w:keepLines/>
      <w:numPr>
        <w:ilvl w:val="4"/>
        <w:numId w:val="1"/>
      </w:numPr>
      <w:spacing w:before="80" w:after="40"/>
      <w:outlineLvl w:val="4"/>
    </w:pPr>
    <w:rPr>
      <w:rFonts w:cstheme="majorBidi"/>
    </w:rPr>
  </w:style>
  <w:style w:type="paragraph" w:styleId="7">
    <w:name w:val="heading 6"/>
    <w:basedOn w:val="1"/>
    <w:next w:val="1"/>
    <w:link w:val="27"/>
    <w:unhideWhenUsed/>
    <w:qFormat/>
    <w:uiPriority w:val="9"/>
    <w:pPr>
      <w:keepNext/>
      <w:keepLines/>
      <w:numPr>
        <w:ilvl w:val="5"/>
        <w:numId w:val="1"/>
      </w:numPr>
      <w:spacing w:before="40"/>
      <w:outlineLvl w:val="5"/>
    </w:pPr>
    <w:rPr>
      <w:rFonts w:cstheme="majorBidi"/>
      <w:b/>
      <w:bCs/>
    </w:rPr>
  </w:style>
  <w:style w:type="paragraph" w:styleId="8">
    <w:name w:val="heading 7"/>
    <w:basedOn w:val="1"/>
    <w:next w:val="1"/>
    <w:link w:val="28"/>
    <w:unhideWhenUsed/>
    <w:qFormat/>
    <w:uiPriority w:val="9"/>
    <w:pPr>
      <w:keepNext/>
      <w:keepLines/>
      <w:numPr>
        <w:ilvl w:val="6"/>
        <w:numId w:val="1"/>
      </w:numPr>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9"/>
    <w:unhideWhenUsed/>
    <w:qFormat/>
    <w:uiPriority w:val="9"/>
    <w:pPr>
      <w:keepNext/>
      <w:keepLines/>
      <w:numPr>
        <w:ilvl w:val="7"/>
        <w:numId w:val="1"/>
      </w:numPr>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0"/>
    <w:unhideWhenUsed/>
    <w:qFormat/>
    <w:uiPriority w:val="9"/>
    <w:pPr>
      <w:keepNext/>
      <w:keepLines/>
      <w:numPr>
        <w:ilvl w:val="8"/>
        <w:numId w:val="1"/>
      </w:numPr>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0">
    <w:name w:val="Default Paragraph Font"/>
    <w:semiHidden/>
    <w:unhideWhenUsed/>
    <w:uiPriority w:val="1"/>
  </w:style>
  <w:style w:type="table" w:default="1" w:styleId="18">
    <w:name w:val="Normal Table"/>
    <w:semiHidden/>
    <w:unhideWhenUsed/>
    <w:uiPriority w:val="99"/>
    <w:tblPr>
      <w:tblCellMar>
        <w:top w:w="0" w:type="dxa"/>
        <w:left w:w="108" w:type="dxa"/>
        <w:bottom w:w="0" w:type="dxa"/>
        <w:right w:w="108" w:type="dxa"/>
      </w:tblCellMar>
    </w:tblPr>
  </w:style>
  <w:style w:type="paragraph" w:styleId="11">
    <w:name w:val="toc 3"/>
    <w:basedOn w:val="1"/>
    <w:next w:val="1"/>
    <w:autoRedefine/>
    <w:unhideWhenUsed/>
    <w:uiPriority w:val="39"/>
    <w:pPr>
      <w:ind w:left="840" w:leftChars="400"/>
    </w:pPr>
  </w:style>
  <w:style w:type="paragraph" w:styleId="12">
    <w:name w:val="footer"/>
    <w:basedOn w:val="1"/>
    <w:link w:val="41"/>
    <w:unhideWhenUsed/>
    <w:qFormat/>
    <w:uiPriority w:val="99"/>
    <w:pPr>
      <w:tabs>
        <w:tab w:val="center" w:pos="4153"/>
        <w:tab w:val="right" w:pos="8306"/>
      </w:tabs>
      <w:snapToGrid w:val="0"/>
      <w:spacing w:line="240" w:lineRule="auto"/>
    </w:pPr>
    <w:rPr>
      <w:sz w:val="18"/>
      <w:szCs w:val="18"/>
    </w:rPr>
  </w:style>
  <w:style w:type="paragraph" w:styleId="13">
    <w:name w:val="header"/>
    <w:basedOn w:val="1"/>
    <w:link w:val="40"/>
    <w:unhideWhenUsed/>
    <w:qFormat/>
    <w:uiPriority w:val="99"/>
    <w:pPr>
      <w:tabs>
        <w:tab w:val="center" w:pos="4153"/>
        <w:tab w:val="right" w:pos="8306"/>
      </w:tabs>
      <w:snapToGrid w:val="0"/>
      <w:spacing w:line="240" w:lineRule="auto"/>
      <w:jc w:val="center"/>
    </w:pPr>
    <w:rPr>
      <w:sz w:val="18"/>
      <w:szCs w:val="18"/>
    </w:rPr>
  </w:style>
  <w:style w:type="paragraph" w:styleId="14">
    <w:name w:val="toc 1"/>
    <w:basedOn w:val="1"/>
    <w:next w:val="1"/>
    <w:autoRedefine/>
    <w:unhideWhenUsed/>
    <w:uiPriority w:val="39"/>
  </w:style>
  <w:style w:type="paragraph" w:styleId="15">
    <w:name w:val="Subtitle"/>
    <w:basedOn w:val="1"/>
    <w:next w:val="1"/>
    <w:link w:val="32"/>
    <w:qFormat/>
    <w:uiPriority w:val="11"/>
    <w:pPr>
      <w:jc w:val="center"/>
    </w:pPr>
    <w:rPr>
      <w:rFonts w:asciiTheme="majorHAnsi" w:hAnsiTheme="majorHAnsi" w:eastAsiaTheme="majorEastAsia" w:cstheme="majorBidi"/>
      <w:color w:val="595959" w:themeColor="text1" w:themeTint="A6"/>
      <w:spacing w:val="15"/>
      <w:szCs w:val="28"/>
      <w14:textFill>
        <w14:solidFill>
          <w14:schemeClr w14:val="tx1">
            <w14:lumMod w14:val="65000"/>
            <w14:lumOff w14:val="35000"/>
          </w14:schemeClr>
        </w14:solidFill>
      </w14:textFill>
    </w:rPr>
  </w:style>
  <w:style w:type="paragraph" w:styleId="16">
    <w:name w:val="toc 2"/>
    <w:basedOn w:val="1"/>
    <w:next w:val="1"/>
    <w:autoRedefine/>
    <w:unhideWhenUsed/>
    <w:uiPriority w:val="39"/>
    <w:pPr>
      <w:ind w:left="420" w:leftChars="200"/>
    </w:pPr>
  </w:style>
  <w:style w:type="paragraph" w:styleId="17">
    <w:name w:val="Title"/>
    <w:basedOn w:val="1"/>
    <w:next w:val="1"/>
    <w:link w:val="31"/>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table" w:styleId="19">
    <w:name w:val="Table Grid"/>
    <w:basedOn w:val="18"/>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Hyperlink"/>
    <w:basedOn w:val="20"/>
    <w:unhideWhenUsed/>
    <w:uiPriority w:val="99"/>
    <w:rPr>
      <w:color w:val="0563C1" w:themeColor="hyperlink"/>
      <w:u w:val="single"/>
      <w14:textFill>
        <w14:solidFill>
          <w14:schemeClr w14:val="hlink"/>
        </w14:solidFill>
      </w14:textFill>
    </w:rPr>
  </w:style>
  <w:style w:type="character" w:customStyle="1" w:styleId="22">
    <w:name w:val="标题 1 字符"/>
    <w:basedOn w:val="20"/>
    <w:link w:val="2"/>
    <w:qFormat/>
    <w:uiPriority w:val="9"/>
    <w:rPr>
      <w:rFonts w:eastAsia="仿宋" w:asciiTheme="majorHAnsi" w:hAnsiTheme="majorHAnsi" w:cstheme="majorBidi"/>
      <w:sz w:val="44"/>
      <w:szCs w:val="48"/>
    </w:rPr>
  </w:style>
  <w:style w:type="character" w:customStyle="1" w:styleId="23">
    <w:name w:val="标题 2 字符"/>
    <w:basedOn w:val="20"/>
    <w:link w:val="3"/>
    <w:qFormat/>
    <w:uiPriority w:val="9"/>
    <w:rPr>
      <w:rFonts w:eastAsia="仿宋" w:asciiTheme="majorHAnsi" w:hAnsiTheme="majorHAnsi" w:cstheme="majorBidi"/>
      <w:sz w:val="32"/>
      <w:szCs w:val="40"/>
    </w:rPr>
  </w:style>
  <w:style w:type="character" w:customStyle="1" w:styleId="24">
    <w:name w:val="标题 3 字符"/>
    <w:basedOn w:val="20"/>
    <w:link w:val="4"/>
    <w:uiPriority w:val="9"/>
    <w:rPr>
      <w:rFonts w:eastAsia="仿宋" w:asciiTheme="majorHAnsi" w:hAnsiTheme="majorHAnsi" w:cstheme="majorBidi"/>
      <w:sz w:val="30"/>
      <w:szCs w:val="32"/>
    </w:rPr>
  </w:style>
  <w:style w:type="character" w:customStyle="1" w:styleId="25">
    <w:name w:val="标题 4 字符"/>
    <w:basedOn w:val="20"/>
    <w:link w:val="5"/>
    <w:uiPriority w:val="0"/>
    <w:rPr>
      <w:rFonts w:eastAsia="仿宋" w:cstheme="majorBidi"/>
      <w:sz w:val="24"/>
      <w:szCs w:val="28"/>
    </w:rPr>
  </w:style>
  <w:style w:type="character" w:customStyle="1" w:styleId="26">
    <w:name w:val="标题 5 字符"/>
    <w:basedOn w:val="20"/>
    <w:link w:val="6"/>
    <w:uiPriority w:val="9"/>
    <w:rPr>
      <w:rFonts w:eastAsia="仿宋" w:cstheme="majorBidi"/>
      <w:sz w:val="24"/>
    </w:rPr>
  </w:style>
  <w:style w:type="character" w:customStyle="1" w:styleId="27">
    <w:name w:val="标题 6 字符"/>
    <w:basedOn w:val="20"/>
    <w:link w:val="7"/>
    <w:uiPriority w:val="9"/>
    <w:rPr>
      <w:rFonts w:eastAsia="仿宋" w:cstheme="majorBidi"/>
      <w:b/>
      <w:bCs/>
      <w:sz w:val="24"/>
    </w:rPr>
  </w:style>
  <w:style w:type="character" w:customStyle="1" w:styleId="28">
    <w:name w:val="标题 7 字符"/>
    <w:basedOn w:val="20"/>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9">
    <w:name w:val="标题 8 字符"/>
    <w:basedOn w:val="20"/>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0">
    <w:name w:val="标题 9 字符"/>
    <w:basedOn w:val="20"/>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标题 字符"/>
    <w:basedOn w:val="20"/>
    <w:link w:val="17"/>
    <w:uiPriority w:val="10"/>
    <w:rPr>
      <w:rFonts w:asciiTheme="majorHAnsi" w:hAnsiTheme="majorHAnsi" w:eastAsiaTheme="majorEastAsia" w:cstheme="majorBidi"/>
      <w:spacing w:val="-10"/>
      <w:kern w:val="28"/>
      <w:sz w:val="56"/>
      <w:szCs w:val="56"/>
    </w:rPr>
  </w:style>
  <w:style w:type="character" w:customStyle="1" w:styleId="32">
    <w:name w:val="副标题 字符"/>
    <w:basedOn w:val="20"/>
    <w:link w:val="15"/>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3">
    <w:name w:val="Quote"/>
    <w:basedOn w:val="1"/>
    <w:next w:val="1"/>
    <w:link w:val="34"/>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4">
    <w:name w:val="引用 字符"/>
    <w:basedOn w:val="20"/>
    <w:link w:val="33"/>
    <w:uiPriority w:val="29"/>
    <w:rPr>
      <w:i/>
      <w:iCs/>
      <w:color w:val="404040" w:themeColor="text1" w:themeTint="BF"/>
      <w14:textFill>
        <w14:solidFill>
          <w14:schemeClr w14:val="tx1">
            <w14:lumMod w14:val="75000"/>
            <w14:lumOff w14:val="25000"/>
          </w14:schemeClr>
        </w14:solidFill>
      </w14:textFill>
    </w:rPr>
  </w:style>
  <w:style w:type="paragraph" w:styleId="35">
    <w:name w:val="List Paragraph"/>
    <w:basedOn w:val="1"/>
    <w:qFormat/>
    <w:uiPriority w:val="0"/>
    <w:pPr>
      <w:ind w:left="720"/>
      <w:contextualSpacing/>
    </w:pPr>
  </w:style>
  <w:style w:type="character" w:customStyle="1" w:styleId="36">
    <w:name w:val="明显强调1"/>
    <w:basedOn w:val="20"/>
    <w:qFormat/>
    <w:uiPriority w:val="21"/>
    <w:rPr>
      <w:i/>
      <w:iCs/>
      <w:color w:val="2F5597" w:themeColor="accent1" w:themeShade="BF"/>
    </w:rPr>
  </w:style>
  <w:style w:type="paragraph" w:styleId="37">
    <w:name w:val="Intense Quote"/>
    <w:basedOn w:val="1"/>
    <w:next w:val="1"/>
    <w:link w:val="38"/>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8">
    <w:name w:val="明显引用 字符"/>
    <w:basedOn w:val="20"/>
    <w:link w:val="37"/>
    <w:uiPriority w:val="30"/>
    <w:rPr>
      <w:i/>
      <w:iCs/>
      <w:color w:val="2F5597" w:themeColor="accent1" w:themeShade="BF"/>
    </w:rPr>
  </w:style>
  <w:style w:type="character" w:customStyle="1" w:styleId="39">
    <w:name w:val="明显参考1"/>
    <w:basedOn w:val="20"/>
    <w:qFormat/>
    <w:uiPriority w:val="32"/>
    <w:rPr>
      <w:b/>
      <w:bCs/>
      <w:smallCaps/>
      <w:color w:val="2F5597" w:themeColor="accent1" w:themeShade="BF"/>
      <w:spacing w:val="5"/>
    </w:rPr>
  </w:style>
  <w:style w:type="character" w:customStyle="1" w:styleId="40">
    <w:name w:val="页眉 字符"/>
    <w:basedOn w:val="20"/>
    <w:link w:val="13"/>
    <w:qFormat/>
    <w:uiPriority w:val="99"/>
    <w:rPr>
      <w:sz w:val="18"/>
      <w:szCs w:val="18"/>
    </w:rPr>
  </w:style>
  <w:style w:type="character" w:customStyle="1" w:styleId="41">
    <w:name w:val="页脚 字符"/>
    <w:basedOn w:val="20"/>
    <w:link w:val="12"/>
    <w:qFormat/>
    <w:uiPriority w:val="99"/>
    <w:rPr>
      <w:sz w:val="18"/>
      <w:szCs w:val="18"/>
    </w:rPr>
  </w:style>
  <w:style w:type="paragraph" w:customStyle="1" w:styleId="42">
    <w:name w:val="Body Ref"/>
    <w:uiPriority w:val="0"/>
    <w:pPr>
      <w:spacing w:line="360" w:lineRule="auto"/>
      <w:ind w:firstLine="480"/>
    </w:pPr>
    <w:rPr>
      <w:rFonts w:ascii="仿宋" w:hAnsi="仿宋" w:eastAsia="仿宋" w:cs="仿宋"/>
      <w:color w:val="000000"/>
      <w:sz w:val="24"/>
      <w:szCs w:val="24"/>
      <w:lang w:val="en-US" w:eastAsia="zh-CN" w:bidi="ar-SA"/>
    </w:rPr>
  </w:style>
  <w:style w:type="paragraph" w:customStyle="1" w:styleId="43">
    <w:name w:val="Table Text Ref"/>
    <w:uiPriority w:val="0"/>
    <w:pPr>
      <w:spacing w:line="288" w:lineRule="auto"/>
    </w:pPr>
    <w:rPr>
      <w:rFonts w:ascii="宋体" w:hAnsi="宋体" w:eastAsia="宋体" w:cs="宋体"/>
      <w:color w:val="000000"/>
      <w:sz w:val="18"/>
      <w:szCs w:val="24"/>
      <w:lang w:val="en-US" w:eastAsia="zh-CN" w:bidi="ar-SA"/>
    </w:rPr>
  </w:style>
  <w:style w:type="paragraph" w:customStyle="1" w:styleId="44">
    <w:name w:val="TOC 标题1"/>
    <w:basedOn w:val="2"/>
    <w:next w:val="1"/>
    <w:unhideWhenUsed/>
    <w:qFormat/>
    <w:uiPriority w:val="39"/>
    <w:pPr>
      <w:widowControl/>
      <w:numPr>
        <w:numId w:val="0"/>
      </w:numPr>
      <w:spacing w:before="240" w:after="0" w:line="259" w:lineRule="auto"/>
      <w:outlineLvl w:val="9"/>
    </w:pPr>
    <w:rPr>
      <w:rFonts w:eastAsiaTheme="majorEastAsia"/>
      <w:color w:val="2F5597" w:themeColor="accent1" w:themeShade="BF"/>
      <w:kern w:val="0"/>
      <w:sz w:val="32"/>
      <w:szCs w:val="32"/>
      <w14:ligatures w14:val="none"/>
    </w:rPr>
  </w:style>
  <w:style w:type="table" w:customStyle="1" w:styleId="45">
    <w:name w:val="Grid Table Light"/>
    <w:basedOn w:val="18"/>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46">
    <w:name w:val="Grid Table 1 Light"/>
    <w:basedOn w:val="18"/>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A0AF18A2-094C-4046-BBEF-A7A9E19EBC21}">
  <ds:schemaRefs/>
</ds:datastoreItem>
</file>

<file path=docProps/app.xml><?xml version="1.0" encoding="utf-8"?>
<Properties xmlns="http://schemas.openxmlformats.org/officeDocument/2006/extended-properties" xmlns:vt="http://schemas.openxmlformats.org/officeDocument/2006/docPropsVTypes">
  <Template>Normal.dotm</Template>
  <Pages>56</Pages>
  <Words>5745</Words>
  <Characters>32748</Characters>
  <Lines>272</Lines>
  <Paragraphs>76</Paragraphs>
  <TotalTime>2</TotalTime>
  <ScaleCrop>false</ScaleCrop>
  <LinksUpToDate>false</LinksUpToDate>
  <CharactersWithSpaces>38417</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2026-05-17T11:36:00Z</dcterms:created>
  <dc:creator>sun flower</dc:creator>
  <cp:lastModifiedBy>远方</cp:lastModifiedBy>
  <dcterms:modified xsi:type="dcterms:W3CDTF">2026-06-23T16:40:16Z</dcterms:modified>
  <cp:revision>135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13968A8F9AFF848248E8396A32B41C22_43</vt:lpwstr>
  </property>
</Properties>
</file>