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0.6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0.8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(6.07%)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(8.50%)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170 (20.63%)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(9.71%)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130 (15.78%)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330 (40.05%)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(6.07%)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(7.28%)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180 (21.84%)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(8.50%)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(9.71%)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210 (25.49%)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(4.85%)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(7.28%)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130 (15.78%)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(7.28%)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(9.71%)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140 (16.99%)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(6.07%)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100 (12.14%)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190 (23.06%)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(8.50%)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120 (14.56%)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150 (18.20%)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iGS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(6.07%)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100 (12.14%)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170 (20.63%)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(4.85%)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(4.85%)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160 (19.42%)</w:t>
            </w:r>
          </w:p>
        </w:tc>
      </w:tr>
    </w:tbl>
    <w:p>
      <w:r>
        <w:br w:type="page"/>
      </w:r>
    </w:p>
    <w:p>
      <w:r>
        <w:t>All_Strategies_on_UCI_concrete.png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UCI_concre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BayesianAL_vs_RS_on_UCI_concrete.png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_vs_RS_on_UCI_concre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EGAL_vs_RS_on_UCI_concrete.png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_vs_RS_on_UCI_concre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GSBAG_vs_RS_on_UCI_concrete.png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_vs_RS_on_UCI_concre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GSx_vs_RS_on_UCI_concrete.png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_vs_RS_on_UCI_concre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GSy_vs_RS_on_UCI_concrete.png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_vs_RS_on_UCI_concret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iGS_vs_RS_on_UCI_concrete.png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GS_vs_RS_on_UCI_concre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LCMD_vs_RS_on_UCI_concrete.png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_vs_RS_on_UCI_concret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LL4AL_vs_RS_on_UCI_concrete.png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_vs_RS_on_UCI_concre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MCD_vs_RS_on_UCI_concrete.png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_vs_RS_on_UCI_concret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