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(17.05%)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250 (28.41%)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460 (52.27%)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(14.77%)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230 (26.14%)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470 (53.41%)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(14.77%)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180 (20.45%)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420 (47.73%)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(12.50%)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180 (20.45%)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370 (42.05%)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160 (18.18%)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350 (39.77%)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160 (18.18%)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250 (28.41%)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480 (54.55%)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(14.77%)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240 (27.27%)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400 (45.45%)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170 (19.32%)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250 (28.41%)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460 (52.27%)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(12.50%)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220 (25.00%)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370 (42.05%)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200 (22.73%)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260 (29.55%)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410 (46.59%)</w:t>
            </w:r>
          </w:p>
        </w:tc>
      </w:tr>
    </w:tbl>
    <w:p>
      <w:r>
        <w:br w:type="page"/>
      </w:r>
    </w:p>
    <w:p>
      <w:r>
        <w:t>All_Strategies_on_GEN7f20n.png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GEN7f20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BayesianAL_vs_RS_on_GEN7f20n.png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GEN7f20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EGAL_vs_RS_on_GEN7f20n.png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GEN7f20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GSBAG_vs_RS_on_GEN7f20n.png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GEN7f20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GSx_vs_RS_on_GEN7f20n.png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GEN7f20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GSy_vs_RS_on_GEN7f20n.png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GEN7f20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iGS_vs_RS_on_GEN7f20n.png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GEN7f20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LCMD_vs_RS_on_GEN7f20n.png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GEN7f20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LL4AL_vs_RS_on_GEN7f20n.png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GEN7f20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MCD_vs_RS_on_GEN7f20n.png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GEN7f20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