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(6.51%)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(6.51%)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(6.51%)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(4.88%)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(4.88%)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(3.26%)</w:t>
            </w:r>
          </w:p>
        </w:tc>
      </w:tr>
    </w:tbl>
    <w:p>
      <w:r>
        <w:br w:type="page"/>
      </w:r>
    </w:p>
    <w:p>
      <w:r>
        <w:t>All_Strategies_on_ENB2012_HL.png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ENB2012_H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BayesianAL_vs_RS_on_ENB2012_HL.png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ENB2012_H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EGAL_vs_RS_on_ENB2012_HL.png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ENB2012_H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GSBAG_vs_RS_on_ENB2012_HL.png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ENB2012_H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GSx_vs_RS_on_ENB2012_HL.png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ENB2012_H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GSy_vs_RS_on_ENB2012_HL.png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ENB2012_H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iGS_vs_RS_on_ENB2012_HL.png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ENB2012_H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LCMD_vs_RS_on_ENB2012_HL.png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ENB2012_H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LL4AL_vs_RS_on_ENB2012_HL.png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ENB2012_H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MCD_vs_RS_on_ENB2012_HL.png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ENB2012_H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