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Proportions Analysis</w:t>
      </w:r>
    </w:p>
    <w:p>
      <w:pPr>
        <w:pStyle w:val="Heading1"/>
      </w:pPr>
      <w:r>
        <w:t>RS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_r2_propor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LL4AL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r2_propor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LCMD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r2_propor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MCD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r2_propor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EGAL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r2_proport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BayesianAL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r2_proportio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GSx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r2_proportio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GSy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r2_propor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GSi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_r2_proportion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GSBAG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r2_proportion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RS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p>
      <w:pPr>
        <w:pStyle w:val="Heading1"/>
      </w:pPr>
      <w:r>
        <w:t>LL4AL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</w:tbl>
    <w:p>
      <w:pPr>
        <w:pStyle w:val="Heading1"/>
      </w:pPr>
      <w:r>
        <w:t>LCMD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</w:tbl>
    <w:p>
      <w:pPr>
        <w:pStyle w:val="Heading1"/>
      </w:pPr>
      <w:r>
        <w:t>MCD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</w:tbl>
    <w:p>
      <w:pPr>
        <w:pStyle w:val="Heading1"/>
      </w:pPr>
      <w:r>
        <w:t>EGAL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</w:tr>
    </w:tbl>
    <w:p>
      <w:pPr>
        <w:pStyle w:val="Heading1"/>
      </w:pPr>
      <w:r>
        <w:t>BayesianAL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</w:tr>
    </w:tbl>
    <w:p>
      <w:pPr>
        <w:pStyle w:val="Heading1"/>
      </w:pPr>
      <w:r>
        <w:t>GSx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</w:tr>
    </w:tbl>
    <w:p>
      <w:pPr>
        <w:pStyle w:val="Heading1"/>
      </w:pPr>
      <w:r>
        <w:t>GSy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p>
      <w:pPr>
        <w:pStyle w:val="Heading1"/>
      </w:pPr>
      <w:r>
        <w:t>GSi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</w:tbl>
    <w:p>
      <w:pPr>
        <w:pStyle w:val="Heading1"/>
      </w:pPr>
      <w:r>
        <w:t>GSBAG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