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R2 Samples Report for 3 Thresholds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sz w:val="20"/>
              </w:rPr>
              <w:t>Strategy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R2 &gt;= 0.5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R2 &gt;= 0.7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R2 &gt;= 0.9</w:t>
            </w:r>
          </w:p>
        </w:tc>
      </w:tr>
      <w:tr>
        <w:tc>
          <w:tcPr>
            <w:tcW w:type="dxa" w:w="2160"/>
          </w:tcPr>
          <w:p>
            <w:r>
              <w:rPr>
                <w:sz w:val="20"/>
              </w:rPr>
              <w:t>RS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10 (1.14%)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20 (2.27%)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80 (9.09%)</w:t>
            </w:r>
          </w:p>
        </w:tc>
      </w:tr>
      <w:tr>
        <w:tc>
          <w:tcPr>
            <w:tcW w:type="dxa" w:w="2160"/>
          </w:tcPr>
          <w:p>
            <w:r>
              <w:rPr>
                <w:sz w:val="20"/>
              </w:rPr>
              <w:t>LL4AL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10 (1.14%)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80 (9.09%)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170 (19.32%)</w:t>
            </w:r>
          </w:p>
        </w:tc>
      </w:tr>
      <w:tr>
        <w:tc>
          <w:tcPr>
            <w:tcW w:type="dxa" w:w="2160"/>
          </w:tcPr>
          <w:p>
            <w:r>
              <w:rPr>
                <w:sz w:val="20"/>
              </w:rPr>
              <w:t>LCMD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10 (1.14%)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40 (4.55%)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120 (13.64%)</w:t>
            </w:r>
          </w:p>
        </w:tc>
      </w:tr>
      <w:tr>
        <w:tc>
          <w:tcPr>
            <w:tcW w:type="dxa" w:w="2160"/>
          </w:tcPr>
          <w:p>
            <w:r>
              <w:rPr>
                <w:sz w:val="20"/>
              </w:rPr>
              <w:t>MCD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10 (1.14%)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30 (3.41%)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80 (9.09%)</w:t>
            </w:r>
          </w:p>
        </w:tc>
      </w:tr>
      <w:tr>
        <w:tc>
          <w:tcPr>
            <w:tcW w:type="dxa" w:w="2160"/>
          </w:tcPr>
          <w:p>
            <w:r>
              <w:rPr>
                <w:sz w:val="20"/>
              </w:rPr>
              <w:t>EGAL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10 (1.14%)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40 (4.55%)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110 (12.50%)</w:t>
            </w:r>
          </w:p>
        </w:tc>
      </w:tr>
      <w:tr>
        <w:tc>
          <w:tcPr>
            <w:tcW w:type="dxa" w:w="2160"/>
          </w:tcPr>
          <w:p>
            <w:r>
              <w:rPr>
                <w:sz w:val="20"/>
              </w:rPr>
              <w:t>BayesianAL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10 (1.14%)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50 (5.68%)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210 (23.86%)</w:t>
            </w:r>
          </w:p>
        </w:tc>
      </w:tr>
      <w:tr>
        <w:tc>
          <w:tcPr>
            <w:tcW w:type="dxa" w:w="2160"/>
          </w:tcPr>
          <w:p>
            <w:r>
              <w:rPr>
                <w:sz w:val="20"/>
              </w:rPr>
              <w:t>GSx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10 (1.14%)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20 (2.27%)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110 (12.50%)</w:t>
            </w:r>
          </w:p>
        </w:tc>
      </w:tr>
      <w:tr>
        <w:tc>
          <w:tcPr>
            <w:tcW w:type="dxa" w:w="2160"/>
          </w:tcPr>
          <w:p>
            <w:r>
              <w:rPr>
                <w:sz w:val="20"/>
              </w:rPr>
              <w:t>GSy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10 (1.14%)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20 (2.27%)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80 (9.09%)</w:t>
            </w:r>
          </w:p>
        </w:tc>
      </w:tr>
      <w:tr>
        <w:tc>
          <w:tcPr>
            <w:tcW w:type="dxa" w:w="2160"/>
          </w:tcPr>
          <w:p>
            <w:r>
              <w:rPr>
                <w:sz w:val="20"/>
              </w:rPr>
              <w:t>GSi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10 (1.14%)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30 (3.41%)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110 (12.50%)</w:t>
            </w:r>
          </w:p>
        </w:tc>
      </w:tr>
      <w:tr>
        <w:tc>
          <w:tcPr>
            <w:tcW w:type="dxa" w:w="2160"/>
          </w:tcPr>
          <w:p>
            <w:r>
              <w:rPr>
                <w:sz w:val="20"/>
              </w:rPr>
              <w:t>GSBAG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10 (1.14%)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50 (5.68%)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160 (18.18%)</w:t>
            </w:r>
          </w:p>
        </w:tc>
      </w:tr>
    </w:tbl>
    <w:p>
      <w:r>
        <w:br w:type="page"/>
      </w:r>
    </w:p>
    <w:p>
      <w:r>
        <w:t>All_Strategies_on_GEN3f5n.png</w:t>
      </w:r>
    </w:p>
    <w:p>
      <w:r>
        <w:drawing>
          <wp:inline xmlns:a="http://schemas.openxmlformats.org/drawingml/2006/main" xmlns:pic="http://schemas.openxmlformats.org/drawingml/2006/picture">
            <wp:extent cx="5080000" cy="2540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ll_Strategies_on_GEN3f5n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254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t>BayesianALvs_RS_on_GEN3f5n.png</w:t>
      </w:r>
    </w:p>
    <w:p>
      <w:r>
        <w:drawing>
          <wp:inline xmlns:a="http://schemas.openxmlformats.org/drawingml/2006/main" xmlns:pic="http://schemas.openxmlformats.org/drawingml/2006/picture">
            <wp:extent cx="5080000" cy="25400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ayesianALvs_RS_on_GEN3f5n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254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t>EGALvs_RS_on_GEN3f5n.png</w:t>
      </w:r>
    </w:p>
    <w:p>
      <w:r>
        <w:drawing>
          <wp:inline xmlns:a="http://schemas.openxmlformats.org/drawingml/2006/main" xmlns:pic="http://schemas.openxmlformats.org/drawingml/2006/picture">
            <wp:extent cx="5080000" cy="25400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GALvs_RS_on_GEN3f5n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254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t>GSBAGvs_RS_on_GEN3f5n.png</w:t>
      </w:r>
    </w:p>
    <w:p>
      <w:r>
        <w:drawing>
          <wp:inline xmlns:a="http://schemas.openxmlformats.org/drawingml/2006/main" xmlns:pic="http://schemas.openxmlformats.org/drawingml/2006/picture">
            <wp:extent cx="5080000" cy="25400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SBAGvs_RS_on_GEN3f5n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254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t>GSivs_RS_on_GEN3f5n.png</w:t>
      </w:r>
    </w:p>
    <w:p>
      <w:r>
        <w:drawing>
          <wp:inline xmlns:a="http://schemas.openxmlformats.org/drawingml/2006/main" xmlns:pic="http://schemas.openxmlformats.org/drawingml/2006/picture">
            <wp:extent cx="5080000" cy="25400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Sivs_RS_on_GEN3f5n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254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t>GSxvs_RS_on_GEN3f5n.png</w:t>
      </w:r>
    </w:p>
    <w:p>
      <w:r>
        <w:drawing>
          <wp:inline xmlns:a="http://schemas.openxmlformats.org/drawingml/2006/main" xmlns:pic="http://schemas.openxmlformats.org/drawingml/2006/picture">
            <wp:extent cx="5080000" cy="25400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Sxvs_RS_on_GEN3f5n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254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t>GSyvs_RS_on_GEN3f5n.png</w:t>
      </w:r>
    </w:p>
    <w:p>
      <w:r>
        <w:drawing>
          <wp:inline xmlns:a="http://schemas.openxmlformats.org/drawingml/2006/main" xmlns:pic="http://schemas.openxmlformats.org/drawingml/2006/picture">
            <wp:extent cx="5080000" cy="254000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Syvs_RS_on_GEN3f5n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254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t>LCMDvs_RS_on_GEN3f5n.png</w:t>
      </w:r>
    </w:p>
    <w:p>
      <w:r>
        <w:drawing>
          <wp:inline xmlns:a="http://schemas.openxmlformats.org/drawingml/2006/main" xmlns:pic="http://schemas.openxmlformats.org/drawingml/2006/picture">
            <wp:extent cx="5080000" cy="254000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CMDvs_RS_on_GEN3f5n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254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t>LL4ALvs_RS_on_GEN3f5n.png</w:t>
      </w:r>
    </w:p>
    <w:p>
      <w:r>
        <w:drawing>
          <wp:inline xmlns:a="http://schemas.openxmlformats.org/drawingml/2006/main" xmlns:pic="http://schemas.openxmlformats.org/drawingml/2006/picture">
            <wp:extent cx="5080000" cy="2540000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L4ALvs_RS_on_GEN3f5n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254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t>MCDvs_RS_on_GEN3f5n.png</w:t>
      </w:r>
    </w:p>
    <w:p>
      <w:r>
        <w:drawing>
          <wp:inline xmlns:a="http://schemas.openxmlformats.org/drawingml/2006/main" xmlns:pic="http://schemas.openxmlformats.org/drawingml/2006/picture">
            <wp:extent cx="5080000" cy="2540000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CDvs_RS_on_GEN3f5n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2540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