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B6BD9" w14:textId="65A7FFC9" w:rsidR="00A765E6" w:rsidRPr="00D041DD" w:rsidRDefault="00A579E2">
      <w:pPr>
        <w:rPr>
          <w:rFonts w:ascii="Times New Roman" w:hAnsi="Times New Roman" w:cs="Times New Roman"/>
        </w:rPr>
      </w:pPr>
      <w:r w:rsidRPr="00D041DD">
        <w:rPr>
          <w:rFonts w:ascii="Times New Roman" w:hAnsi="Times New Roman" w:cs="Times New Roman"/>
        </w:rPr>
        <w:t>Theoretical Framework and Model Settings</w:t>
      </w:r>
    </w:p>
    <w:p w14:paraId="096C8EFC" w14:textId="663512ED" w:rsidR="00A579E2" w:rsidRPr="00D041DD" w:rsidRDefault="00A579E2" w:rsidP="00A579E2">
      <w:pPr>
        <w:spacing w:line="240" w:lineRule="auto"/>
        <w:jc w:val="both"/>
        <w:rPr>
          <w:rFonts w:ascii="Times New Roman" w:hAnsi="Times New Roman" w:cs="Times New Roman"/>
        </w:rPr>
      </w:pPr>
      <w:r w:rsidRPr="00D041DD">
        <w:rPr>
          <w:rFonts w:ascii="Times New Roman" w:hAnsi="Times New Roman" w:cs="Times New Roman"/>
        </w:rPr>
        <w:t>This project assumes that a small proportion of actors (10%) will adopt a set of corrections (a list of preferences) that is in sharp contrast to a list of older preferences. Instead of assuming that actors insist on and spread their preferences (one-time adoption), this project investigates how all actors who participate in the discussion will update their preferences in a manner that avoids cognitive dissonance under different network topologies.</w:t>
      </w:r>
    </w:p>
    <w:p w14:paraId="1D23F101" w14:textId="1499E516" w:rsidR="00D041DD" w:rsidRPr="00D041DD" w:rsidRDefault="00D041DD" w:rsidP="00A579E2">
      <w:pPr>
        <w:spacing w:line="240" w:lineRule="auto"/>
        <w:jc w:val="both"/>
        <w:rPr>
          <w:rFonts w:ascii="Times New Roman" w:hAnsi="Times New Roman" w:cs="Times New Roman"/>
        </w:rPr>
      </w:pPr>
      <w:r w:rsidRPr="00D041DD">
        <w:rPr>
          <w:rFonts w:ascii="Times New Roman" w:hAnsi="Times New Roman" w:cs="Times New Roman"/>
        </w:rPr>
        <w:t xml:space="preserve">The model assumes that people’s attitudes are subjects to the social influence from others </w:t>
      </w:r>
      <w:r w:rsidRPr="00D041DD">
        <w:rPr>
          <w:rFonts w:ascii="Times New Roman" w:hAnsi="Times New Roman" w:cs="Times New Roman"/>
        </w:rPr>
        <w:fldChar w:fldCharType="begin">
          <w:fldData xml:space="preserve">PEVuZE5vdGU+PENpdGU+PEF1dGhvcj5EZU1hcnpvPC9BdXRob3I+PFllYXI+MjAwMjwvWWVhcj48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==
</w:fldData>
        </w:fldChar>
      </w:r>
      <w:r w:rsidRPr="00D041DD">
        <w:rPr>
          <w:rFonts w:ascii="Times New Roman" w:hAnsi="Times New Roman" w:cs="Times New Roman"/>
        </w:rPr>
        <w:instrText xml:space="preserve"> ADDIN EN.CITE </w:instrText>
      </w:r>
      <w:r w:rsidRPr="00D041DD">
        <w:rPr>
          <w:rFonts w:ascii="Times New Roman" w:hAnsi="Times New Roman" w:cs="Times New Roman"/>
        </w:rPr>
        <w:fldChar w:fldCharType="begin">
          <w:fldData xml:space="preserve">PEVuZE5vdGU+PENpdGU+PEF1dGhvcj5EZU1hcnpvPC9BdXRob3I+PFllYXI+MjAwMjwvWWVhcj48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==
</w:fldData>
        </w:fldChar>
      </w:r>
      <w:r w:rsidRPr="00D041DD">
        <w:rPr>
          <w:rFonts w:ascii="Times New Roman" w:hAnsi="Times New Roman" w:cs="Times New Roman"/>
        </w:rPr>
        <w:instrText xml:space="preserve"> ADDIN EN.CITE.DATA </w:instrText>
      </w:r>
      <w:r w:rsidRPr="00D041DD">
        <w:rPr>
          <w:rFonts w:ascii="Times New Roman" w:hAnsi="Times New Roman" w:cs="Times New Roman"/>
        </w:rPr>
      </w:r>
      <w:r w:rsidRPr="00D041DD">
        <w:rPr>
          <w:rFonts w:ascii="Times New Roman" w:hAnsi="Times New Roman" w:cs="Times New Roman"/>
        </w:rPr>
        <w:fldChar w:fldCharType="end"/>
      </w:r>
      <w:r w:rsidRPr="00D041DD">
        <w:rPr>
          <w:rFonts w:ascii="Times New Roman" w:hAnsi="Times New Roman" w:cs="Times New Roman"/>
        </w:rPr>
      </w:r>
      <w:r w:rsidRPr="00D041DD">
        <w:rPr>
          <w:rFonts w:ascii="Times New Roman" w:hAnsi="Times New Roman" w:cs="Times New Roman"/>
        </w:rPr>
        <w:fldChar w:fldCharType="separate"/>
      </w:r>
      <w:r w:rsidRPr="00D041DD">
        <w:rPr>
          <w:rFonts w:ascii="Times New Roman" w:hAnsi="Times New Roman" w:cs="Times New Roman"/>
          <w:noProof/>
        </w:rPr>
        <w:t>(Becker, Porter and Centola 2019, DeMarzo, Vayanos and Zwiebel 2002)</w:t>
      </w:r>
      <w:r w:rsidRPr="00D041DD">
        <w:rPr>
          <w:rFonts w:ascii="Times New Roman" w:hAnsi="Times New Roman" w:cs="Times New Roman"/>
        </w:rPr>
        <w:fldChar w:fldCharType="end"/>
      </w:r>
      <w:r w:rsidRPr="00D041DD">
        <w:rPr>
          <w:rFonts w:ascii="Times New Roman" w:hAnsi="Times New Roman" w:cs="Times New Roman"/>
        </w:rPr>
        <w:t xml:space="preserve"> and to one’s own preferences and cognitive status </w:t>
      </w:r>
      <w:r w:rsidRPr="00D041DD">
        <w:rPr>
          <w:rFonts w:ascii="Times New Roman" w:hAnsi="Times New Roman" w:cs="Times New Roman"/>
        </w:rPr>
        <w:fldChar w:fldCharType="begin"/>
      </w:r>
      <w:r w:rsidRPr="00D041DD">
        <w:rPr>
          <w:rFonts w:ascii="Times New Roman" w:hAnsi="Times New Roman" w:cs="Times New Roman"/>
        </w:rPr>
        <w:instrText xml:space="preserve"> ADDIN EN.CITE &lt;EndNote&gt;&lt;Cite&gt;&lt;Author&gt;Taber&lt;/Author&gt;&lt;Year&gt;2006&lt;/Year&gt;&lt;RecNum&gt;813&lt;/RecNum&gt;&lt;DisplayText&gt;(Page and Shapiro 2010, Taber and Lodge 2006)&lt;/DisplayText&gt;&lt;record&gt;&lt;rec-number&gt;813&lt;/rec-number&gt;&lt;foreign-keys&gt;&lt;key app="EN" db-id="tvrwfaxvj0f5r9e0a5h5vr5dvatt290xr9xt" timestamp="1636732489" guid="bc8302eb-07cc-4cf3-a377-4a51a08eab27"&gt;813&lt;/key&gt;&lt;/foreign-keys&gt;&lt;ref-type name="Journal Article"&gt;17&lt;/ref-type&gt;&lt;contributors&gt;&lt;authors&gt;&lt;author&gt;Taber, Charles S.&lt;/author&gt;&lt;author&gt;Milton Lodge&lt;/author&gt;&lt;/authors&gt;&lt;/contributors&gt;&lt;titles&gt;&lt;title&gt;Motivated skepticism in the evaluation of political beliefs&lt;/title&gt;&lt;secondary-title&gt;American journal of political science&lt;/secondary-title&gt;&lt;/titles&gt;&lt;periodical&gt;&lt;full-title&gt;American Journal of Political Science&lt;/full-title&gt;&lt;/periodical&gt;&lt;pages&gt;755-769&lt;/pages&gt;&lt;volume&gt;50&lt;/volume&gt;&lt;number&gt;3&lt;/number&gt;&lt;dates&gt;&lt;year&gt;2006&lt;/year&gt;&lt;/dates&gt;&lt;urls&gt;&lt;/urls&gt;&lt;/record&gt;&lt;/Cite&gt;&lt;Cite&gt;&lt;Author&gt;Page&lt;/Author&gt;&lt;Year&gt;2010&lt;/Year&gt;&lt;RecNum&gt;851&lt;/RecNum&gt;&lt;record&gt;&lt;rec-number&gt;851&lt;/rec-number&gt;&lt;foreign-keys&gt;&lt;key app="EN" db-id="tvrwfaxvj0f5r9e0a5h5vr5dvatt290xr9xt" timestamp="1638652776" guid="0aedfd25-2be6-402a-a801-71d7f703bdc1"&gt;851&lt;/key&gt;&lt;/foreign-keys&gt;&lt;ref-type name="Book"&gt;6&lt;/ref-type&gt;&lt;contributors&gt;&lt;authors&gt;&lt;author&gt;Page, Benjamin I.&lt;/author&gt;&lt;author&gt;Robert Y. Shapiro&lt;/author&gt;&lt;/authors&gt;&lt;/contributors&gt;&lt;titles&gt;&lt;title&gt;The rational public&lt;/title&gt;&lt;/titles&gt;&lt;dates&gt;&lt;year&gt;2010&lt;/year&gt;&lt;/dates&gt;&lt;publisher&gt;University of Chicago Press&lt;/publisher&gt;&lt;urls&gt;&lt;/urls&gt;&lt;/record&gt;&lt;/Cite&gt;&lt;/EndNote&gt;</w:instrText>
      </w:r>
      <w:r w:rsidRPr="00D041DD">
        <w:rPr>
          <w:rFonts w:ascii="Times New Roman" w:hAnsi="Times New Roman" w:cs="Times New Roman"/>
        </w:rPr>
        <w:fldChar w:fldCharType="separate"/>
      </w:r>
      <w:r w:rsidRPr="00D041DD">
        <w:rPr>
          <w:rFonts w:ascii="Times New Roman" w:hAnsi="Times New Roman" w:cs="Times New Roman"/>
          <w:noProof/>
        </w:rPr>
        <w:t>(Page and Shapiro 2010, Taber and Lodge 2006)</w:t>
      </w:r>
      <w:r w:rsidRPr="00D041DD">
        <w:rPr>
          <w:rFonts w:ascii="Times New Roman" w:hAnsi="Times New Roman" w:cs="Times New Roman"/>
        </w:rPr>
        <w:fldChar w:fldCharType="end"/>
      </w:r>
      <w:r w:rsidRPr="00D041DD">
        <w:rPr>
          <w:rFonts w:ascii="Times New Roman" w:hAnsi="Times New Roman" w:cs="Times New Roman"/>
        </w:rPr>
        <w:t>. The social influence is modeled by one’s structural conditions, which assume people are subjected to social influences from local social interactions (local neighbors) and the society has a global structure of social interaction (network topologies). The cognitive status here is largely about motivated reasoning. In particular, the structural and cognitive conditions are as follows:</w:t>
      </w:r>
    </w:p>
    <w:p w14:paraId="0DBFCA91" w14:textId="4E0C00F3" w:rsidR="00D041DD" w:rsidRPr="00D041DD" w:rsidRDefault="00D041DD" w:rsidP="00D041DD">
      <w:pPr>
        <w:rPr>
          <w:rFonts w:ascii="Times New Roman" w:hAnsi="Times New Roman" w:cs="Times New Roman"/>
        </w:rPr>
      </w:pPr>
      <w:r w:rsidRPr="00D041DD">
        <w:rPr>
          <w:rFonts w:ascii="Times New Roman" w:hAnsi="Times New Roman" w:cs="Times New Roman"/>
        </w:rPr>
        <w:t>First, a</w:t>
      </w:r>
      <w:r w:rsidRPr="00D041DD">
        <w:rPr>
          <w:rFonts w:ascii="Times New Roman" w:hAnsi="Times New Roman" w:cs="Times New Roman"/>
        </w:rPr>
        <w:t xml:space="preserve">daptations in Different structures can be model by testing attitude changes in different network topologies, such as </w:t>
      </w:r>
    </w:p>
    <w:p w14:paraId="11CAD579" w14:textId="77777777" w:rsidR="00D041DD" w:rsidRPr="00D041DD" w:rsidRDefault="00D041DD" w:rsidP="00D041DD">
      <w:pPr>
        <w:rPr>
          <w:rFonts w:ascii="Times New Roman" w:hAnsi="Times New Roman" w:cs="Times New Roman"/>
        </w:rPr>
      </w:pPr>
      <w:r w:rsidRPr="00D041DD">
        <w:rPr>
          <w:rFonts w:ascii="Times New Roman" w:hAnsi="Times New Roman" w:cs="Times New Roman"/>
        </w:rPr>
        <w:t>(1)</w:t>
      </w:r>
      <w:r w:rsidRPr="00D041DD">
        <w:rPr>
          <w:rFonts w:ascii="Times New Roman" w:hAnsi="Times New Roman" w:cs="Times New Roman"/>
        </w:rPr>
        <w:tab/>
        <w:t>scale-free networks (A type of networks with strong core-periphery structures. The cores not only occupy central positions in global topology but also have more local direct neighbors) (</w:t>
      </w:r>
      <w:proofErr w:type="spellStart"/>
      <w:r w:rsidRPr="00D041DD">
        <w:rPr>
          <w:rFonts w:ascii="Times New Roman" w:hAnsi="Times New Roman" w:cs="Times New Roman"/>
        </w:rPr>
        <w:t>Barabási</w:t>
      </w:r>
      <w:proofErr w:type="spellEnd"/>
      <w:r w:rsidRPr="00D041DD">
        <w:rPr>
          <w:rFonts w:ascii="Times New Roman" w:hAnsi="Times New Roman" w:cs="Times New Roman"/>
        </w:rPr>
        <w:t xml:space="preserve"> and Albert 1999); </w:t>
      </w:r>
    </w:p>
    <w:p w14:paraId="2D6C50A9" w14:textId="77777777" w:rsidR="00D041DD" w:rsidRPr="00D041DD" w:rsidRDefault="00D041DD" w:rsidP="00D041DD">
      <w:pPr>
        <w:rPr>
          <w:rFonts w:ascii="Times New Roman" w:hAnsi="Times New Roman" w:cs="Times New Roman"/>
        </w:rPr>
      </w:pPr>
      <w:r w:rsidRPr="00D041DD">
        <w:rPr>
          <w:rFonts w:ascii="Times New Roman" w:hAnsi="Times New Roman" w:cs="Times New Roman"/>
        </w:rPr>
        <w:t>(2)</w:t>
      </w:r>
      <w:r w:rsidRPr="00D041DD">
        <w:rPr>
          <w:rFonts w:ascii="Times New Roman" w:hAnsi="Times New Roman" w:cs="Times New Roman"/>
        </w:rPr>
        <w:tab/>
        <w:t xml:space="preserve">small-world networks (A type of network with weak core-periphery structures. Agents are embedded in different communities and these communities are randomly linked by some bridges. These bridges appear as cores because different communities rely on them to get connected) (Watts and </w:t>
      </w:r>
      <w:proofErr w:type="spellStart"/>
      <w:r w:rsidRPr="00D041DD">
        <w:rPr>
          <w:rFonts w:ascii="Times New Roman" w:hAnsi="Times New Roman" w:cs="Times New Roman"/>
        </w:rPr>
        <w:t>Strogatz</w:t>
      </w:r>
      <w:proofErr w:type="spellEnd"/>
      <w:r w:rsidRPr="00D041DD">
        <w:rPr>
          <w:rFonts w:ascii="Times New Roman" w:hAnsi="Times New Roman" w:cs="Times New Roman"/>
        </w:rPr>
        <w:t xml:space="preserve"> 1998); </w:t>
      </w:r>
    </w:p>
    <w:p w14:paraId="2F5F24BC" w14:textId="77777777" w:rsidR="00D041DD" w:rsidRPr="00D041DD" w:rsidRDefault="00D041DD" w:rsidP="00D041DD">
      <w:pPr>
        <w:rPr>
          <w:rFonts w:ascii="Times New Roman" w:hAnsi="Times New Roman" w:cs="Times New Roman"/>
        </w:rPr>
      </w:pPr>
      <w:r w:rsidRPr="00D041DD">
        <w:rPr>
          <w:rFonts w:ascii="Times New Roman" w:hAnsi="Times New Roman" w:cs="Times New Roman"/>
        </w:rPr>
        <w:t>(3)</w:t>
      </w:r>
      <w:r w:rsidRPr="00D041DD">
        <w:rPr>
          <w:rFonts w:ascii="Times New Roman" w:hAnsi="Times New Roman" w:cs="Times New Roman"/>
        </w:rPr>
        <w:tab/>
        <w:t>random regular networks (A type of network with no core-periphery structures. Agents not only occupy similar positions in global topology but also have the same number of direct neighbors) (</w:t>
      </w:r>
      <w:proofErr w:type="spellStart"/>
      <w:r w:rsidRPr="00D041DD">
        <w:rPr>
          <w:rFonts w:ascii="Times New Roman" w:hAnsi="Times New Roman" w:cs="Times New Roman"/>
        </w:rPr>
        <w:t>Csardi</w:t>
      </w:r>
      <w:proofErr w:type="spellEnd"/>
      <w:r w:rsidRPr="00D041DD">
        <w:rPr>
          <w:rFonts w:ascii="Times New Roman" w:hAnsi="Times New Roman" w:cs="Times New Roman"/>
        </w:rPr>
        <w:t xml:space="preserve"> and </w:t>
      </w:r>
      <w:proofErr w:type="spellStart"/>
      <w:r w:rsidRPr="00D041DD">
        <w:rPr>
          <w:rFonts w:ascii="Times New Roman" w:hAnsi="Times New Roman" w:cs="Times New Roman"/>
        </w:rPr>
        <w:t>Nepusz</w:t>
      </w:r>
      <w:proofErr w:type="spellEnd"/>
      <w:r w:rsidRPr="00D041DD">
        <w:rPr>
          <w:rFonts w:ascii="Times New Roman" w:hAnsi="Times New Roman" w:cs="Times New Roman"/>
        </w:rPr>
        <w:t xml:space="preserve"> 2006). </w:t>
      </w:r>
    </w:p>
    <w:p w14:paraId="701102C1" w14:textId="77777777" w:rsidR="00D041DD" w:rsidRPr="00D041DD" w:rsidRDefault="00D041DD" w:rsidP="00D041DD">
      <w:pPr>
        <w:rPr>
          <w:rFonts w:ascii="Times New Roman" w:hAnsi="Times New Roman" w:cs="Times New Roman"/>
        </w:rPr>
      </w:pPr>
      <w:r w:rsidRPr="00D041DD">
        <w:rPr>
          <w:rFonts w:ascii="Times New Roman" w:hAnsi="Times New Roman" w:cs="Times New Roman"/>
        </w:rPr>
        <w:t xml:space="preserve">Second, the model captures motivated reasoning by assuming that agents update their preferences when the update does not increase their cognitive dissonant. Specifically, we consider motivated reasoning as two types of reasoning: </w:t>
      </w:r>
    </w:p>
    <w:p w14:paraId="57A3AABC" w14:textId="77777777" w:rsidR="00D041DD" w:rsidRPr="00D041DD" w:rsidRDefault="00D041DD" w:rsidP="00D041DD">
      <w:pPr>
        <w:rPr>
          <w:rFonts w:ascii="Times New Roman" w:hAnsi="Times New Roman" w:cs="Times New Roman"/>
        </w:rPr>
      </w:pPr>
      <w:r w:rsidRPr="00D041DD">
        <w:rPr>
          <w:rFonts w:ascii="Times New Roman" w:hAnsi="Times New Roman" w:cs="Times New Roman"/>
        </w:rPr>
        <w:t>(1)</w:t>
      </w:r>
      <w:r w:rsidRPr="00D041DD">
        <w:rPr>
          <w:rFonts w:ascii="Times New Roman" w:hAnsi="Times New Roman" w:cs="Times New Roman"/>
        </w:rPr>
        <w:tab/>
        <w:t>weakly motivated reasoning, i.e., cognitive dissonance reduction. People are motivated to reduce dissonance. Dissonance is a psychological state of tension between any two cognitions, when considered by themselves, are obverse (Festinger 1957, Goldberg and Stein 2018, Shultz and Lepper 1996). Traditional social psychology research usually relies on theories of cold cognition to study dissonance reduction (Taber and Lodge 2006)</w:t>
      </w:r>
    </w:p>
    <w:p w14:paraId="66D53F3E" w14:textId="0BDD0A98" w:rsidR="00A579E2" w:rsidRPr="00D041DD" w:rsidRDefault="00D041DD" w:rsidP="00D041DD">
      <w:pPr>
        <w:rPr>
          <w:rFonts w:ascii="Times New Roman" w:hAnsi="Times New Roman" w:cs="Times New Roman"/>
        </w:rPr>
      </w:pPr>
      <w:r w:rsidRPr="00D041DD">
        <w:rPr>
          <w:rFonts w:ascii="Times New Roman" w:hAnsi="Times New Roman" w:cs="Times New Roman"/>
        </w:rPr>
        <w:t>(2)</w:t>
      </w:r>
      <w:r w:rsidRPr="00D041DD">
        <w:rPr>
          <w:rFonts w:ascii="Times New Roman" w:hAnsi="Times New Roman" w:cs="Times New Roman"/>
        </w:rPr>
        <w:tab/>
        <w:t>strongly motivated reasoning, i.e., affective reasoning. People are still motivated to reduce dissonance, but the dissonance here is created by stimuli that would trigger strong affective responses (</w:t>
      </w:r>
      <w:proofErr w:type="spellStart"/>
      <w:r w:rsidRPr="00D041DD">
        <w:rPr>
          <w:rFonts w:ascii="Times New Roman" w:hAnsi="Times New Roman" w:cs="Times New Roman"/>
        </w:rPr>
        <w:t>Bolsen</w:t>
      </w:r>
      <w:proofErr w:type="spellEnd"/>
      <w:r w:rsidRPr="00D041DD">
        <w:rPr>
          <w:rFonts w:ascii="Times New Roman" w:hAnsi="Times New Roman" w:cs="Times New Roman"/>
        </w:rPr>
        <w:t xml:space="preserve">, </w:t>
      </w:r>
      <w:proofErr w:type="spellStart"/>
      <w:r w:rsidRPr="00D041DD">
        <w:rPr>
          <w:rFonts w:ascii="Times New Roman" w:hAnsi="Times New Roman" w:cs="Times New Roman"/>
        </w:rPr>
        <w:t>Druckman</w:t>
      </w:r>
      <w:proofErr w:type="spellEnd"/>
      <w:r w:rsidRPr="00D041DD">
        <w:rPr>
          <w:rFonts w:ascii="Times New Roman" w:hAnsi="Times New Roman" w:cs="Times New Roman"/>
        </w:rPr>
        <w:t xml:space="preserve"> and Cook 2014, Taber and Lodge 2006). In this case, people feel strongly about issues and spend more time and cognitive resources to generate arguments. The attitudes are more likely to be polarized, strong, and sophisticated (</w:t>
      </w:r>
      <w:proofErr w:type="spellStart"/>
      <w:r w:rsidRPr="00D041DD">
        <w:rPr>
          <w:rFonts w:ascii="Times New Roman" w:hAnsi="Times New Roman" w:cs="Times New Roman"/>
        </w:rPr>
        <w:t>Druckman</w:t>
      </w:r>
      <w:proofErr w:type="spellEnd"/>
      <w:r w:rsidRPr="00D041DD">
        <w:rPr>
          <w:rFonts w:ascii="Times New Roman" w:hAnsi="Times New Roman" w:cs="Times New Roman"/>
        </w:rPr>
        <w:t xml:space="preserve"> et al. 2021, Taber and Lodge 2006).</w:t>
      </w:r>
    </w:p>
    <w:p w14:paraId="39EC2563" w14:textId="33631B56" w:rsidR="00D041DD" w:rsidRPr="00D041DD" w:rsidRDefault="00D041DD" w:rsidP="00D041DD">
      <w:pPr>
        <w:rPr>
          <w:rFonts w:ascii="Times New Roman" w:hAnsi="Times New Roman" w:cs="Times New Roman"/>
        </w:rPr>
      </w:pPr>
    </w:p>
    <w:p w14:paraId="6B7F3298" w14:textId="77226999" w:rsidR="00D041DD" w:rsidRPr="00D041DD" w:rsidRDefault="00D041DD" w:rsidP="00D041DD">
      <w:pPr>
        <w:spacing w:line="240" w:lineRule="auto"/>
        <w:jc w:val="both"/>
        <w:rPr>
          <w:rFonts w:ascii="Times New Roman" w:hAnsi="Times New Roman" w:cs="Times New Roman"/>
        </w:rPr>
      </w:pPr>
      <w:r w:rsidRPr="00D041DD">
        <w:rPr>
          <w:rFonts w:ascii="Times New Roman" w:hAnsi="Times New Roman" w:cs="Times New Roman"/>
        </w:rPr>
        <w:t xml:space="preserve">I </w:t>
      </w:r>
      <w:r w:rsidRPr="00D041DD">
        <w:rPr>
          <w:rFonts w:ascii="Times New Roman" w:hAnsi="Times New Roman" w:cs="Times New Roman"/>
        </w:rPr>
        <w:t xml:space="preserve">build on the </w:t>
      </w:r>
      <w:r w:rsidRPr="00D041DD">
        <w:rPr>
          <w:rFonts w:ascii="Times New Roman" w:hAnsi="Times New Roman" w:cs="Times New Roman"/>
        </w:rPr>
        <w:t xml:space="preserve">associative diffusion </w:t>
      </w:r>
      <w:r w:rsidRPr="00D041DD">
        <w:rPr>
          <w:rFonts w:ascii="Times New Roman" w:hAnsi="Times New Roman" w:cs="Times New Roman"/>
        </w:rPr>
        <w:t>model</w:t>
      </w:r>
      <w:r w:rsidRPr="00D041DD">
        <w:rPr>
          <w:rFonts w:ascii="Times New Roman" w:hAnsi="Times New Roman" w:cs="Times New Roman"/>
        </w:rPr>
        <w:t xml:space="preserve"> (AD)</w:t>
      </w:r>
      <w:r w:rsidRPr="00D041DD">
        <w:rPr>
          <w:rFonts w:ascii="Times New Roman" w:hAnsi="Times New Roman" w:cs="Times New Roman"/>
        </w:rPr>
        <w:t xml:space="preserve"> </w:t>
      </w:r>
      <w:r w:rsidRPr="00D041DD">
        <w:rPr>
          <w:rFonts w:ascii="Times New Roman" w:hAnsi="Times New Roman" w:cs="Times New Roman"/>
        </w:rPr>
        <w:t>(</w:t>
      </w:r>
      <w:r w:rsidRPr="00D041DD">
        <w:rPr>
          <w:rFonts w:ascii="Times New Roman" w:hAnsi="Times New Roman" w:cs="Times New Roman"/>
        </w:rPr>
        <w:t>Goldberg and Stein (2018)</w:t>
      </w:r>
      <w:r w:rsidRPr="00D041DD">
        <w:rPr>
          <w:rFonts w:ascii="Times New Roman" w:hAnsi="Times New Roman" w:cs="Times New Roman"/>
        </w:rPr>
        <w:t xml:space="preserve">) </w:t>
      </w:r>
      <w:r w:rsidRPr="00D041DD">
        <w:rPr>
          <w:rFonts w:ascii="Times New Roman" w:hAnsi="Times New Roman" w:cs="Times New Roman"/>
        </w:rPr>
        <w:t xml:space="preserve">to investigate that if a small proportion of actors at different structural positions adopt a correction, to what extent they would change the collective attitude towards the old misinformation. Although the AD model shares a similar cognitive </w:t>
      </w:r>
      <w:r w:rsidRPr="00D041DD">
        <w:rPr>
          <w:rFonts w:ascii="Times New Roman" w:hAnsi="Times New Roman" w:cs="Times New Roman"/>
        </w:rPr>
        <w:lastRenderedPageBreak/>
        <w:t xml:space="preserve">assumption with this paper that actors adapt their preference depending on the level of cognitive consonance, it was originally developed to demonstrate endogenous cultural differentiation and does not pay close attention to preference change. Therefore, the original AD model does not precisely target the research purpose of examining collective preference change found in this paper, which departures from the AD model by making the five changes: </w:t>
      </w:r>
    </w:p>
    <w:p w14:paraId="09C4F0D3" w14:textId="77777777" w:rsidR="00D041DD" w:rsidRPr="00D041DD" w:rsidRDefault="00D041DD" w:rsidP="00D041DD">
      <w:pPr>
        <w:spacing w:line="240" w:lineRule="auto"/>
        <w:jc w:val="both"/>
        <w:rPr>
          <w:rFonts w:ascii="Times New Roman" w:hAnsi="Times New Roman" w:cs="Times New Roman"/>
        </w:rPr>
      </w:pPr>
      <w:r w:rsidRPr="00D041DD">
        <w:rPr>
          <w:rFonts w:ascii="Times New Roman" w:hAnsi="Times New Roman" w:cs="Times New Roman"/>
        </w:rPr>
        <w:t xml:space="preserve">(1). For </w:t>
      </w:r>
      <w:r w:rsidRPr="00D041DD">
        <w:rPr>
          <w:rFonts w:ascii="Times New Roman" w:hAnsi="Times New Roman" w:cs="Times New Roman"/>
          <w:i/>
          <w:iCs/>
        </w:rPr>
        <w:t>correction of old misinformation</w:t>
      </w:r>
      <w:r w:rsidRPr="00D041DD">
        <w:rPr>
          <w:rFonts w:ascii="Times New Roman" w:hAnsi="Times New Roman" w:cs="Times New Roman"/>
        </w:rPr>
        <w:t>, while the AD model randomly assigns the value of all agents’ preferences from the same probability distribution (</w:t>
      </w:r>
      <w:r w:rsidRPr="00D041DD">
        <w:rPr>
          <w:rFonts w:ascii="Times New Roman" w:hAnsi="Times New Roman" w:cs="Times New Roman"/>
          <w:i/>
          <w:iCs/>
        </w:rPr>
        <w:t>V~</w:t>
      </w:r>
      <w:proofErr w:type="gramStart"/>
      <w:r w:rsidRPr="00D041DD">
        <w:rPr>
          <w:rFonts w:ascii="Times New Roman" w:hAnsi="Times New Roman" w:cs="Times New Roman"/>
          <w:i/>
          <w:iCs/>
        </w:rPr>
        <w:t>U(</w:t>
      </w:r>
      <w:proofErr w:type="gramEnd"/>
      <w:r w:rsidRPr="00D041DD">
        <w:rPr>
          <w:rFonts w:ascii="Times New Roman" w:hAnsi="Times New Roman" w:cs="Times New Roman"/>
          <w:i/>
          <w:iCs/>
        </w:rPr>
        <w:t>-1,1)</w:t>
      </w:r>
      <w:r w:rsidRPr="00D041DD">
        <w:rPr>
          <w:rFonts w:ascii="Times New Roman" w:hAnsi="Times New Roman" w:cs="Times New Roman"/>
        </w:rPr>
        <w:t xml:space="preserve">), this paper assumes that agents’ preferences follow two different subjective probability distributions: a set of old, widespread preferences, </w:t>
      </w:r>
      <w:proofErr w:type="spellStart"/>
      <w:r w:rsidRPr="00D041DD">
        <w:rPr>
          <w:rFonts w:ascii="Times New Roman" w:hAnsi="Times New Roman" w:cs="Times New Roman"/>
          <w:i/>
          <w:iCs/>
        </w:rPr>
        <w:t>V</w:t>
      </w:r>
      <w:r w:rsidRPr="00D041DD">
        <w:rPr>
          <w:rFonts w:ascii="Times New Roman" w:hAnsi="Times New Roman" w:cs="Times New Roman"/>
          <w:i/>
          <w:iCs/>
          <w:vertAlign w:val="subscript"/>
        </w:rPr>
        <w:t>n</w:t>
      </w:r>
      <w:proofErr w:type="spellEnd"/>
      <w:r w:rsidRPr="00D041DD">
        <w:rPr>
          <w:rFonts w:ascii="Times New Roman" w:hAnsi="Times New Roman" w:cs="Times New Roman"/>
        </w:rPr>
        <w:t xml:space="preserve">, and a set of new corrected preferences, </w:t>
      </w:r>
      <w:proofErr w:type="spellStart"/>
      <w:r w:rsidRPr="00D041DD">
        <w:rPr>
          <w:rFonts w:ascii="Times New Roman" w:hAnsi="Times New Roman" w:cs="Times New Roman"/>
          <w:i/>
          <w:iCs/>
        </w:rPr>
        <w:t>V</w:t>
      </w:r>
      <w:r w:rsidRPr="00D041DD">
        <w:rPr>
          <w:rFonts w:ascii="Times New Roman" w:hAnsi="Times New Roman" w:cs="Times New Roman"/>
          <w:i/>
          <w:iCs/>
          <w:vertAlign w:val="subscript"/>
        </w:rPr>
        <w:t>m</w:t>
      </w:r>
      <w:proofErr w:type="spellEnd"/>
      <w:r w:rsidRPr="00D041DD">
        <w:rPr>
          <w:rFonts w:ascii="Times New Roman" w:hAnsi="Times New Roman" w:cs="Times New Roman"/>
        </w:rPr>
        <w:t xml:space="preserve">. Specifically, a large group of agents, </w:t>
      </w:r>
      <w:r w:rsidRPr="00D041DD">
        <w:rPr>
          <w:rFonts w:ascii="Times New Roman" w:hAnsi="Times New Roman" w:cs="Times New Roman"/>
          <w:i/>
          <w:iCs/>
        </w:rPr>
        <w:t>n</w:t>
      </w:r>
      <w:r w:rsidRPr="00D041DD">
        <w:rPr>
          <w:rFonts w:ascii="Times New Roman" w:hAnsi="Times New Roman" w:cs="Times New Roman"/>
        </w:rPr>
        <w:t xml:space="preserve">, form initial preferences, </w:t>
      </w:r>
      <w:proofErr w:type="spellStart"/>
      <w:r w:rsidRPr="00D041DD">
        <w:rPr>
          <w:rFonts w:ascii="Times New Roman" w:hAnsi="Times New Roman" w:cs="Times New Roman"/>
          <w:i/>
          <w:iCs/>
        </w:rPr>
        <w:t>V</w:t>
      </w:r>
      <w:r w:rsidRPr="00D041DD">
        <w:rPr>
          <w:rFonts w:ascii="Times New Roman" w:hAnsi="Times New Roman" w:cs="Times New Roman"/>
          <w:i/>
          <w:iCs/>
          <w:vertAlign w:val="subscript"/>
        </w:rPr>
        <w:t>n</w:t>
      </w:r>
      <w:proofErr w:type="spellEnd"/>
      <w:r w:rsidRPr="00D041DD">
        <w:rPr>
          <w:rFonts w:ascii="Times New Roman" w:hAnsi="Times New Roman" w:cs="Times New Roman"/>
          <w:i/>
          <w:iCs/>
          <w:vertAlign w:val="subscript"/>
        </w:rPr>
        <w:t xml:space="preserve"> </w:t>
      </w:r>
      <w:r w:rsidRPr="00D041DD">
        <w:rPr>
          <w:rFonts w:ascii="Times New Roman" w:hAnsi="Times New Roman" w:cs="Times New Roman"/>
          <w:i/>
          <w:iCs/>
        </w:rPr>
        <w:t>~</w:t>
      </w:r>
      <w:proofErr w:type="gramStart"/>
      <w:r w:rsidRPr="00D041DD">
        <w:rPr>
          <w:rFonts w:ascii="Times New Roman" w:hAnsi="Times New Roman" w:cs="Times New Roman"/>
          <w:i/>
          <w:iCs/>
        </w:rPr>
        <w:t>U(</w:t>
      </w:r>
      <w:proofErr w:type="gramEnd"/>
      <w:r w:rsidRPr="00D041DD">
        <w:rPr>
          <w:rFonts w:ascii="Times New Roman" w:hAnsi="Times New Roman" w:cs="Times New Roman"/>
          <w:i/>
          <w:iCs/>
        </w:rPr>
        <w:t>0,2</w:t>
      </w:r>
      <w:r w:rsidRPr="00D041DD">
        <w:rPr>
          <w:rFonts w:ascii="Times New Roman" w:hAnsi="Times New Roman" w:cs="Times New Roman"/>
        </w:rPr>
        <w:t>), and a small group of agents,</w:t>
      </w:r>
      <w:r w:rsidRPr="00D041DD">
        <w:rPr>
          <w:rFonts w:ascii="Times New Roman" w:hAnsi="Times New Roman" w:cs="Times New Roman"/>
          <w:i/>
          <w:iCs/>
        </w:rPr>
        <w:t xml:space="preserve"> m, </w:t>
      </w:r>
      <w:r w:rsidRPr="00D041DD">
        <w:rPr>
          <w:rFonts w:ascii="Times New Roman" w:hAnsi="Times New Roman" w:cs="Times New Roman"/>
        </w:rPr>
        <w:t>adopt a set of corrections of preferences,</w:t>
      </w:r>
      <w:r w:rsidRPr="00D041DD">
        <w:rPr>
          <w:rFonts w:ascii="Times New Roman" w:hAnsi="Times New Roman" w:cs="Times New Roman"/>
          <w:i/>
          <w:iCs/>
        </w:rPr>
        <w:t xml:space="preserve"> </w:t>
      </w:r>
      <w:proofErr w:type="spellStart"/>
      <w:r w:rsidRPr="00D041DD">
        <w:rPr>
          <w:rFonts w:ascii="Times New Roman" w:hAnsi="Times New Roman" w:cs="Times New Roman"/>
          <w:i/>
          <w:iCs/>
        </w:rPr>
        <w:t>V</w:t>
      </w:r>
      <w:r w:rsidRPr="00D041DD">
        <w:rPr>
          <w:rFonts w:ascii="Times New Roman" w:hAnsi="Times New Roman" w:cs="Times New Roman"/>
          <w:i/>
          <w:iCs/>
          <w:vertAlign w:val="subscript"/>
        </w:rPr>
        <w:t>m</w:t>
      </w:r>
      <w:proofErr w:type="spellEnd"/>
      <w:r w:rsidRPr="00D041DD">
        <w:rPr>
          <w:rFonts w:ascii="Times New Roman" w:hAnsi="Times New Roman" w:cs="Times New Roman"/>
          <w:i/>
          <w:iCs/>
        </w:rPr>
        <w:t>~ U(-2,0</w:t>
      </w:r>
      <w:r w:rsidRPr="00D041DD">
        <w:rPr>
          <w:rFonts w:ascii="Times New Roman" w:hAnsi="Times New Roman" w:cs="Times New Roman"/>
        </w:rPr>
        <w:t xml:space="preserve">), which have the sharp contrast values with </w:t>
      </w:r>
      <w:r w:rsidRPr="00D041DD">
        <w:rPr>
          <w:rFonts w:ascii="Times New Roman" w:hAnsi="Times New Roman" w:cs="Times New Roman"/>
          <w:i/>
          <w:iCs/>
        </w:rPr>
        <w:t>V</w:t>
      </w:r>
      <w:r w:rsidRPr="00D041DD">
        <w:rPr>
          <w:rFonts w:ascii="Times New Roman" w:hAnsi="Times New Roman" w:cs="Times New Roman"/>
          <w:i/>
          <w:iCs/>
          <w:vertAlign w:val="subscript"/>
        </w:rPr>
        <w:t>n</w:t>
      </w:r>
      <w:r w:rsidRPr="00D041DD">
        <w:rPr>
          <w:rFonts w:ascii="Times New Roman" w:hAnsi="Times New Roman" w:cs="Times New Roman"/>
        </w:rPr>
        <w:t>.</w:t>
      </w:r>
    </w:p>
    <w:p w14:paraId="63578F04" w14:textId="77777777" w:rsidR="00D041DD" w:rsidRPr="00D041DD" w:rsidRDefault="00D041DD" w:rsidP="00D041DD">
      <w:pPr>
        <w:spacing w:line="240" w:lineRule="auto"/>
        <w:jc w:val="both"/>
        <w:rPr>
          <w:rFonts w:ascii="Times New Roman" w:hAnsi="Times New Roman" w:cs="Times New Roman"/>
        </w:rPr>
      </w:pPr>
      <w:r w:rsidRPr="00D041DD">
        <w:rPr>
          <w:rFonts w:ascii="Times New Roman" w:hAnsi="Times New Roman" w:cs="Times New Roman"/>
        </w:rPr>
        <w:t xml:space="preserve">(2) For </w:t>
      </w:r>
      <w:r w:rsidRPr="00D041DD">
        <w:rPr>
          <w:rFonts w:ascii="Times New Roman" w:hAnsi="Times New Roman" w:cs="Times New Roman"/>
          <w:i/>
          <w:iCs/>
        </w:rPr>
        <w:t>core-peripheral topologies</w:t>
      </w:r>
      <w:r w:rsidRPr="00D041DD">
        <w:rPr>
          <w:rFonts w:ascii="Times New Roman" w:hAnsi="Times New Roman" w:cs="Times New Roman"/>
        </w:rPr>
        <w:t xml:space="preserve">, this paper mainly discusses contagion networks with </w:t>
      </w:r>
      <w:bookmarkStart w:id="0" w:name="OLE_LINK11"/>
      <w:r w:rsidRPr="00D041DD">
        <w:rPr>
          <w:rFonts w:ascii="Times New Roman" w:hAnsi="Times New Roman" w:cs="Times New Roman"/>
        </w:rPr>
        <w:t>core-peripheral structures</w:t>
      </w:r>
      <w:bookmarkEnd w:id="0"/>
      <w:r w:rsidRPr="00D041DD">
        <w:rPr>
          <w:rFonts w:ascii="Times New Roman" w:hAnsi="Times New Roman" w:cs="Times New Roman"/>
        </w:rPr>
        <w:t xml:space="preserve">. In particular, this paper adopts the widely applied </w:t>
      </w:r>
      <w:proofErr w:type="spellStart"/>
      <w:r w:rsidRPr="00D041DD">
        <w:rPr>
          <w:rFonts w:ascii="Times New Roman" w:hAnsi="Times New Roman" w:cs="Times New Roman"/>
        </w:rPr>
        <w:t>Barabási</w:t>
      </w:r>
      <w:proofErr w:type="spellEnd"/>
      <w:r w:rsidRPr="00D041DD">
        <w:rPr>
          <w:rFonts w:ascii="Times New Roman" w:hAnsi="Times New Roman" w:cs="Times New Roman"/>
        </w:rPr>
        <w:t xml:space="preserve"> game to generate an original contagion scale-free network with strong core-peripheral structures </w:t>
      </w:r>
      <w:r w:rsidRPr="00D041DD">
        <w:rPr>
          <w:rFonts w:ascii="Times New Roman" w:hAnsi="Times New Roman" w:cs="Times New Roman"/>
        </w:rPr>
        <w:fldChar w:fldCharType="begin"/>
      </w:r>
      <w:r w:rsidRPr="00D041DD">
        <w:rPr>
          <w:rFonts w:ascii="Times New Roman" w:hAnsi="Times New Roman" w:cs="Times New Roman"/>
        </w:rPr>
        <w:instrText xml:space="preserve"> ADDIN EN.CITE &lt;EndNote&gt;&lt;Cite&gt;&lt;Author&gt;Barabási&lt;/Author&gt;&lt;Year&gt;1999&lt;/Year&gt;&lt;RecNum&gt;847&lt;/RecNum&gt;&lt;DisplayText&gt;(Barabási and Albert 1999)&lt;/DisplayText&gt;&lt;record&gt;&lt;rec-number&gt;847&lt;/rec-number&gt;&lt;foreign-keys&gt;&lt;key app="EN" db-id="tvrwfaxvj0f5r9e0a5h5vr5dvatt290xr9xt" timestamp="1638387918" guid="16cf40ca-9117-4718-be5e-2894d14f5f77"&gt;847&lt;/key&gt;&lt;/foreign-keys&gt;&lt;ref-type name="Journal Article"&gt;17&lt;/ref-type&gt;&lt;contributors&gt;&lt;authors&gt;&lt;author&gt;Barabási, Albert-László&lt;/author&gt;&lt;author&gt;Réka Albert&lt;/author&gt;&lt;/authors&gt;&lt;/contributors&gt;&lt;titles&gt;&lt;title&gt;Emergence of scaling in random networks&lt;/title&gt;&lt;secondary-title&gt;science&lt;/secondary-title&gt;&lt;/titles&gt;&lt;periodical&gt;&lt;full-title&gt;Science&lt;/full-title&gt;&lt;/periodical&gt;&lt;pages&gt;509-512&lt;/pages&gt;&lt;volume&gt;286&lt;/volume&gt;&lt;number&gt;5439&lt;/number&gt;&lt;dates&gt;&lt;year&gt;1999&lt;/year&gt;&lt;/dates&gt;&lt;urls&gt;&lt;/urls&gt;&lt;/record&gt;&lt;/Cite&gt;&lt;/EndNote&gt;</w:instrText>
      </w:r>
      <w:r w:rsidRPr="00D041DD">
        <w:rPr>
          <w:rFonts w:ascii="Times New Roman" w:hAnsi="Times New Roman" w:cs="Times New Roman"/>
        </w:rPr>
        <w:fldChar w:fldCharType="separate"/>
      </w:r>
      <w:r w:rsidRPr="00D041DD">
        <w:rPr>
          <w:rFonts w:ascii="Times New Roman" w:hAnsi="Times New Roman" w:cs="Times New Roman"/>
          <w:noProof/>
        </w:rPr>
        <w:t>(</w:t>
      </w:r>
      <w:bookmarkStart w:id="1" w:name="_Hlk89258771"/>
      <w:r w:rsidRPr="00D041DD">
        <w:rPr>
          <w:rFonts w:ascii="Times New Roman" w:hAnsi="Times New Roman" w:cs="Times New Roman"/>
          <w:noProof/>
        </w:rPr>
        <w:t>Barabási</w:t>
      </w:r>
      <w:bookmarkEnd w:id="1"/>
      <w:r w:rsidRPr="00D041DD">
        <w:rPr>
          <w:rFonts w:ascii="Times New Roman" w:hAnsi="Times New Roman" w:cs="Times New Roman"/>
          <w:noProof/>
        </w:rPr>
        <w:t xml:space="preserve"> and Albert 1999)</w:t>
      </w:r>
      <w:r w:rsidRPr="00D041DD">
        <w:rPr>
          <w:rFonts w:ascii="Times New Roman" w:hAnsi="Times New Roman" w:cs="Times New Roman"/>
        </w:rPr>
        <w:fldChar w:fldCharType="end"/>
      </w:r>
      <w:r w:rsidRPr="00D041DD">
        <w:rPr>
          <w:rFonts w:ascii="Times New Roman" w:hAnsi="Times New Roman" w:cs="Times New Roman"/>
        </w:rPr>
        <w:t>. Agents observe the behaviors of their neighbors from the original contagion network and adapt their preferences. In particular, we further specify that the corrections may start from periphery agents or core agents, and compare these two different situations. For the purpose of comparison, we also simulate attitude changes in networks with weak core-peripheral structures and no core-peripheral structures.</w:t>
      </w:r>
    </w:p>
    <w:p w14:paraId="3116676B" w14:textId="77777777" w:rsidR="00D041DD" w:rsidRPr="00D041DD" w:rsidRDefault="00D041DD" w:rsidP="00D041DD">
      <w:pPr>
        <w:spacing w:line="240" w:lineRule="auto"/>
        <w:jc w:val="both"/>
        <w:rPr>
          <w:rFonts w:ascii="Times New Roman" w:hAnsi="Times New Roman" w:cs="Times New Roman"/>
        </w:rPr>
      </w:pPr>
      <w:r w:rsidRPr="00D041DD">
        <w:rPr>
          <w:rFonts w:ascii="Times New Roman" w:hAnsi="Times New Roman" w:cs="Times New Roman"/>
        </w:rPr>
        <w:t xml:space="preserve">(3) For updating preferences in </w:t>
      </w:r>
      <w:r w:rsidRPr="00D041DD">
        <w:rPr>
          <w:rFonts w:ascii="Times New Roman" w:hAnsi="Times New Roman" w:cs="Times New Roman"/>
          <w:i/>
          <w:iCs/>
        </w:rPr>
        <w:t>weak motivated reasoning</w:t>
      </w:r>
      <w:r w:rsidRPr="00D041DD">
        <w:rPr>
          <w:rFonts w:ascii="Times New Roman" w:hAnsi="Times New Roman" w:cs="Times New Roman"/>
        </w:rPr>
        <w:t xml:space="preserve">, the AD model has a latent assumption that agents display “centrism”—that the preference change, </w:t>
      </w:r>
      <w:r w:rsidRPr="00D041DD">
        <w:rPr>
          <w:rFonts w:ascii="Times New Roman" w:hAnsi="Times New Roman" w:cs="Times New Roman"/>
          <w:i/>
          <w:iCs/>
        </w:rPr>
        <w:t>∆v</w:t>
      </w:r>
      <w:r w:rsidRPr="00D041DD">
        <w:rPr>
          <w:rFonts w:ascii="Times New Roman" w:hAnsi="Times New Roman" w:cs="Times New Roman"/>
        </w:rPr>
        <w:t xml:space="preserve">, follows normal distribution </w:t>
      </w:r>
      <w:proofErr w:type="gramStart"/>
      <w:r w:rsidRPr="00D041DD">
        <w:rPr>
          <w:rFonts w:ascii="Times New Roman" w:hAnsi="Times New Roman" w:cs="Times New Roman"/>
          <w:i/>
          <w:iCs/>
        </w:rPr>
        <w:t>N(</w:t>
      </w:r>
      <w:proofErr w:type="gramEnd"/>
      <w:r w:rsidRPr="00D041DD">
        <w:rPr>
          <w:rFonts w:ascii="Times New Roman" w:hAnsi="Times New Roman" w:cs="Times New Roman"/>
          <w:i/>
          <w:iCs/>
        </w:rPr>
        <w:t>0,1)</w:t>
      </w:r>
      <w:r w:rsidRPr="00D041DD">
        <w:rPr>
          <w:rFonts w:ascii="Times New Roman" w:hAnsi="Times New Roman" w:cs="Times New Roman"/>
        </w:rPr>
        <w:t xml:space="preserve">, with the mean 0 and at the center of the original preferences, the uniform distribution </w:t>
      </w:r>
      <w:r w:rsidRPr="00D041DD">
        <w:rPr>
          <w:rFonts w:ascii="Times New Roman" w:hAnsi="Times New Roman" w:cs="Times New Roman"/>
          <w:i/>
          <w:iCs/>
        </w:rPr>
        <w:t>U(-1,1)</w:t>
      </w:r>
      <w:r w:rsidRPr="00D041DD">
        <w:rPr>
          <w:rFonts w:ascii="Times New Roman" w:hAnsi="Times New Roman" w:cs="Times New Roman"/>
        </w:rPr>
        <w:t xml:space="preserve">. This paper does not assume agents display centrism and consider them composed of both centrism and extremists in the case of weak motivated reasoning, and thus sets the </w:t>
      </w:r>
      <w:r w:rsidRPr="00D041DD">
        <w:rPr>
          <w:rFonts w:ascii="Times New Roman" w:hAnsi="Times New Roman" w:cs="Times New Roman"/>
          <w:i/>
          <w:iCs/>
        </w:rPr>
        <w:t xml:space="preserve">∆v </w:t>
      </w:r>
      <w:r w:rsidRPr="00D041DD">
        <w:rPr>
          <w:rFonts w:ascii="Times New Roman" w:hAnsi="Times New Roman" w:cs="Times New Roman"/>
        </w:rPr>
        <w:t xml:space="preserve">follows uniform distribution </w:t>
      </w:r>
      <w:proofErr w:type="gramStart"/>
      <w:r w:rsidRPr="00D041DD">
        <w:rPr>
          <w:rFonts w:ascii="Times New Roman" w:hAnsi="Times New Roman" w:cs="Times New Roman"/>
          <w:i/>
          <w:iCs/>
        </w:rPr>
        <w:t>U(</w:t>
      </w:r>
      <w:proofErr w:type="gramEnd"/>
      <w:r w:rsidRPr="00D041DD">
        <w:rPr>
          <w:rFonts w:ascii="Times New Roman" w:hAnsi="Times New Roman" w:cs="Times New Roman"/>
          <w:i/>
          <w:iCs/>
        </w:rPr>
        <w:t>-2,2)</w:t>
      </w:r>
      <w:r w:rsidRPr="00D041DD">
        <w:rPr>
          <w:rFonts w:ascii="Times New Roman" w:hAnsi="Times New Roman" w:cs="Times New Roman"/>
        </w:rPr>
        <w:t>.</w:t>
      </w:r>
    </w:p>
    <w:p w14:paraId="438A3AFA" w14:textId="77777777" w:rsidR="00D041DD" w:rsidRPr="00D041DD" w:rsidRDefault="00D041DD" w:rsidP="00D041DD">
      <w:pPr>
        <w:spacing w:line="240" w:lineRule="auto"/>
        <w:jc w:val="both"/>
        <w:rPr>
          <w:rFonts w:ascii="Times New Roman" w:hAnsi="Times New Roman" w:cs="Times New Roman"/>
        </w:rPr>
      </w:pPr>
      <w:r w:rsidRPr="00D041DD">
        <w:rPr>
          <w:rFonts w:ascii="Times New Roman" w:hAnsi="Times New Roman" w:cs="Times New Roman"/>
        </w:rPr>
        <w:t xml:space="preserve">(4) For updating preferences in </w:t>
      </w:r>
      <w:r w:rsidRPr="00D041DD">
        <w:rPr>
          <w:rFonts w:ascii="Times New Roman" w:hAnsi="Times New Roman" w:cs="Times New Roman"/>
          <w:i/>
          <w:iCs/>
        </w:rPr>
        <w:t>affective reasoning</w:t>
      </w:r>
      <w:r w:rsidRPr="00D041DD">
        <w:rPr>
          <w:rFonts w:ascii="Times New Roman" w:hAnsi="Times New Roman" w:cs="Times New Roman"/>
        </w:rPr>
        <w:t xml:space="preserve">, in contrast to the AD model’s latent assumption that agents display “centrism”, the affective reasoning argues that the preference change, </w:t>
      </w:r>
      <w:r w:rsidRPr="00D041DD">
        <w:rPr>
          <w:rFonts w:ascii="Times New Roman" w:hAnsi="Times New Roman" w:cs="Times New Roman"/>
          <w:i/>
          <w:iCs/>
        </w:rPr>
        <w:t>∆v</w:t>
      </w:r>
      <w:r w:rsidRPr="00D041DD">
        <w:rPr>
          <w:rFonts w:ascii="Times New Roman" w:hAnsi="Times New Roman" w:cs="Times New Roman"/>
        </w:rPr>
        <w:t xml:space="preserve">, is likely to become extreme </w:t>
      </w:r>
      <w:r w:rsidRPr="00D041DD">
        <w:rPr>
          <w:rFonts w:ascii="Times New Roman" w:hAnsi="Times New Roman" w:cs="Times New Roman"/>
        </w:rPr>
        <w:fldChar w:fldCharType="begin"/>
      </w:r>
      <w:r w:rsidRPr="00D041DD">
        <w:rPr>
          <w:rFonts w:ascii="Times New Roman" w:hAnsi="Times New Roman" w:cs="Times New Roman"/>
        </w:rPr>
        <w:instrText xml:space="preserve"> ADDIN EN.CITE &lt;EndNote&gt;&lt;Cite&gt;&lt;Author&gt;Taber&lt;/Author&gt;&lt;Year&gt;2006&lt;/Year&gt;&lt;RecNum&gt;813&lt;/RecNum&gt;&lt;DisplayText&gt;(Druckman et al. 2021, Taber and Lodge 2006)&lt;/DisplayText&gt;&lt;record&gt;&lt;rec-number&gt;813&lt;/rec-number&gt;&lt;foreign-keys&gt;&lt;key app="EN" db-id="tvrwfaxvj0f5r9e0a5h5vr5dvatt290xr9xt" timestamp="1636732489" guid="bc8302eb-07cc-4cf3-a377-4a51a08eab27"&gt;813&lt;/key&gt;&lt;/foreign-keys&gt;&lt;ref-type name="Journal Article"&gt;17&lt;/ref-type&gt;&lt;contributors&gt;&lt;authors&gt;&lt;author&gt;Taber, Charles S.&lt;/author&gt;&lt;author&gt;Milton Lodge&lt;/author&gt;&lt;/authors&gt;&lt;/contributors&gt;&lt;titles&gt;&lt;title&gt;Motivated skepticism in the evaluation of political beliefs&lt;/title&gt;&lt;secondary-title&gt;American journal of political science&lt;/secondary-title&gt;&lt;/titles&gt;&lt;periodical&gt;&lt;full-title&gt;American Journal of Political Science&lt;/full-title&gt;&lt;/periodical&gt;&lt;pages&gt;755-769&lt;/pages&gt;&lt;volume&gt;50&lt;/volume&gt;&lt;number&gt;3&lt;/number&gt;&lt;dates&gt;&lt;year&gt;2006&lt;/year&gt;&lt;/dates&gt;&lt;urls&gt;&lt;/urls&gt;&lt;/record&gt;&lt;/Cite&gt;&lt;Cite&gt;&lt;Author&gt;Druckman&lt;/Author&gt;&lt;Year&gt;2021&lt;/Year&gt;&lt;RecNum&gt;844&lt;/RecNum&gt;&lt;record&gt;&lt;rec-number&gt;844&lt;/rec-number&gt;&lt;foreign-keys&gt;&lt;key app="EN" db-id="tvrwfaxvj0f5r9e0a5h5vr5dvatt290xr9xt" timestamp="1637734460" guid="ebded3de-539f-4330-ba23-8037d4eab62a"&gt;844&lt;/key&gt;&lt;/foreign-keys&gt;&lt;ref-type name="Journal Article"&gt;17&lt;/ref-type&gt;&lt;contributors&gt;&lt;authors&gt;&lt;author&gt;Druckman, James N.&lt;/author&gt;&lt;author&gt;Samara Klar&lt;/author&gt;&lt;author&gt;Yanna Krupnikov&lt;/author&gt;&lt;author&gt;Matthew Levendusky&lt;/author&gt;&lt;author&gt;John Barry Ryan&lt;/author&gt;&lt;/authors&gt;&lt;/contributors&gt;&lt;titles&gt;&lt;title&gt;Affective polarization, local contexts and public opinion in America&lt;/title&gt;&lt;secondary-title&gt;Nature human behaviour&lt;/secondary-title&gt;&lt;/titles&gt;&lt;periodical&gt;&lt;full-title&gt;Nature human behaviour&lt;/full-title&gt;&lt;/periodical&gt;&lt;pages&gt;28-38&lt;/pages&gt;&lt;volume&gt;5&lt;/volume&gt;&lt;number&gt;1&lt;/number&gt;&lt;dates&gt;&lt;year&gt;2021&lt;/year&gt;&lt;/dates&gt;&lt;urls&gt;&lt;/urls&gt;&lt;/record&gt;&lt;/Cite&gt;&lt;/EndNote&gt;</w:instrText>
      </w:r>
      <w:r w:rsidRPr="00D041DD">
        <w:rPr>
          <w:rFonts w:ascii="Times New Roman" w:hAnsi="Times New Roman" w:cs="Times New Roman"/>
        </w:rPr>
        <w:fldChar w:fldCharType="separate"/>
      </w:r>
      <w:r w:rsidRPr="00D041DD">
        <w:rPr>
          <w:rFonts w:ascii="Times New Roman" w:hAnsi="Times New Roman" w:cs="Times New Roman"/>
          <w:noProof/>
        </w:rPr>
        <w:t>(Druckman et al. 2021, Taber and Lodge 2006)</w:t>
      </w:r>
      <w:r w:rsidRPr="00D041DD">
        <w:rPr>
          <w:rFonts w:ascii="Times New Roman" w:hAnsi="Times New Roman" w:cs="Times New Roman"/>
        </w:rPr>
        <w:fldChar w:fldCharType="end"/>
      </w:r>
      <w:r w:rsidRPr="00D041DD">
        <w:rPr>
          <w:rFonts w:ascii="Times New Roman" w:hAnsi="Times New Roman" w:cs="Times New Roman"/>
        </w:rPr>
        <w:t xml:space="preserve">. Therefore, the preference change, </w:t>
      </w:r>
      <w:r w:rsidRPr="00D041DD">
        <w:rPr>
          <w:rFonts w:ascii="Times New Roman" w:hAnsi="Times New Roman" w:cs="Times New Roman"/>
          <w:i/>
          <w:iCs/>
        </w:rPr>
        <w:t>∆v</w:t>
      </w:r>
      <w:r w:rsidRPr="00D041DD">
        <w:rPr>
          <w:rFonts w:ascii="Times New Roman" w:hAnsi="Times New Roman" w:cs="Times New Roman"/>
        </w:rPr>
        <w:t xml:space="preserve">, is not likely to follow normal distribution </w:t>
      </w:r>
      <w:proofErr w:type="gramStart"/>
      <w:r w:rsidRPr="00D041DD">
        <w:rPr>
          <w:rFonts w:ascii="Times New Roman" w:hAnsi="Times New Roman" w:cs="Times New Roman"/>
          <w:i/>
          <w:iCs/>
        </w:rPr>
        <w:t>N(</w:t>
      </w:r>
      <w:proofErr w:type="gramEnd"/>
      <w:r w:rsidRPr="00D041DD">
        <w:rPr>
          <w:rFonts w:ascii="Times New Roman" w:hAnsi="Times New Roman" w:cs="Times New Roman"/>
          <w:i/>
          <w:iCs/>
        </w:rPr>
        <w:t>0,1)</w:t>
      </w:r>
      <w:r w:rsidRPr="00D041DD">
        <w:rPr>
          <w:rFonts w:ascii="Times New Roman" w:hAnsi="Times New Roman" w:cs="Times New Roman"/>
        </w:rPr>
        <w:t xml:space="preserve">. Instead, the </w:t>
      </w:r>
      <w:r w:rsidRPr="00D041DD">
        <w:rPr>
          <w:rFonts w:ascii="Times New Roman" w:hAnsi="Times New Roman" w:cs="Times New Roman"/>
          <w:i/>
          <w:iCs/>
        </w:rPr>
        <w:t xml:space="preserve">∆v </w:t>
      </w:r>
      <w:r w:rsidRPr="00D041DD">
        <w:rPr>
          <w:rFonts w:ascii="Times New Roman" w:hAnsi="Times New Roman" w:cs="Times New Roman"/>
        </w:rPr>
        <w:t xml:space="preserve">should reinforce the pre-adopted beliefs when exposed to opposing ideas </w:t>
      </w:r>
      <w:r w:rsidRPr="00D041DD">
        <w:rPr>
          <w:rFonts w:ascii="Times New Roman" w:hAnsi="Times New Roman" w:cs="Times New Roman"/>
        </w:rPr>
        <w:fldChar w:fldCharType="begin"/>
      </w:r>
      <w:r w:rsidRPr="00D041DD">
        <w:rPr>
          <w:rFonts w:ascii="Times New Roman" w:hAnsi="Times New Roman" w:cs="Times New Roman"/>
        </w:rPr>
        <w:instrText xml:space="preserve"> ADDIN EN.CITE &lt;EndNote&gt;&lt;Cite&gt;&lt;Author&gt;Bail&lt;/Author&gt;&lt;Year&gt;2018&lt;/Year&gt;&lt;RecNum&gt;483&lt;/RecNum&gt;&lt;DisplayText&gt;(Bail et al. 2018)&lt;/DisplayText&gt;&lt;record&gt;&lt;rec-number&gt;483&lt;/rec-number&gt;&lt;foreign-keys&gt;&lt;key app="EN" db-id="tvrwfaxvj0f5r9e0a5h5vr5dvatt290xr9xt" timestamp="1607554322" guid="689644cb-d717-4f73-97e7-97bd0f392bf6"&gt;483&lt;/key&gt;&lt;/foreign-keys&gt;&lt;ref-type name="Journal Article"&gt;17&lt;/ref-type&gt;&lt;contributors&gt;&lt;authors&gt;&lt;author&gt;Bail, Christopher A.&lt;/author&gt;&lt;author&gt;Lisa P. Argyle&lt;/author&gt;&lt;author&gt;Taylor W. Brown&lt;/author&gt;&lt;author&gt;John P. Bumpus&lt;/author&gt;&lt;author&gt;Haohan Chen&lt;/author&gt;&lt;author&gt;MB Fallin Hunzaker&lt;/author&gt;&lt;author&gt;Jaemin Lee&lt;/author&gt;&lt;author&gt;Marcus Mann&lt;/author&gt;&lt;author&gt;Friedolin Merhout&lt;/author&gt;&lt;author&gt;Alexander Volfovsky&lt;/author&gt;&lt;/authors&gt;&lt;/contributors&gt;&lt;titles&gt;&lt;title&gt;Exposure to opposing views on social media can increase political polarization&lt;/title&gt;&lt;secondary-title&gt;Proceedings of the National Academy of Sciences&lt;/secondary-title&gt;&lt;/titles&gt;&lt;periodical&gt;&lt;full-title&gt;Proceedings of the National Academy of Sciences&lt;/full-title&gt;&lt;/periodical&gt;&lt;pages&gt;9216-9221&lt;/pages&gt;&lt;volume&gt;115&lt;/volume&gt;&lt;number&gt;37&lt;/number&gt;&lt;dates&gt;&lt;year&gt;2018&lt;/year&gt;&lt;/dates&gt;&lt;urls&gt;&lt;/urls&gt;&lt;/record&gt;&lt;/Cite&gt;&lt;/EndNote&gt;</w:instrText>
      </w:r>
      <w:r w:rsidRPr="00D041DD">
        <w:rPr>
          <w:rFonts w:ascii="Times New Roman" w:hAnsi="Times New Roman" w:cs="Times New Roman"/>
        </w:rPr>
        <w:fldChar w:fldCharType="separate"/>
      </w:r>
      <w:r w:rsidRPr="00D041DD">
        <w:rPr>
          <w:rFonts w:ascii="Times New Roman" w:hAnsi="Times New Roman" w:cs="Times New Roman"/>
          <w:noProof/>
        </w:rPr>
        <w:t>(Bail et al. 2018)</w:t>
      </w:r>
      <w:r w:rsidRPr="00D041DD">
        <w:rPr>
          <w:rFonts w:ascii="Times New Roman" w:hAnsi="Times New Roman" w:cs="Times New Roman"/>
        </w:rPr>
        <w:fldChar w:fldCharType="end"/>
      </w:r>
      <w:r w:rsidRPr="00D041DD">
        <w:rPr>
          <w:rFonts w:ascii="Times New Roman" w:hAnsi="Times New Roman" w:cs="Times New Roman"/>
        </w:rPr>
        <w:t xml:space="preserve">. Therefore, when the update increase CS, then </w:t>
      </w:r>
      <w:r w:rsidRPr="00D041DD">
        <w:rPr>
          <w:rFonts w:ascii="Times New Roman" w:hAnsi="Times New Roman" w:cs="Times New Roman"/>
          <w:i/>
          <w:iCs/>
        </w:rPr>
        <w:t xml:space="preserve">∆v </w:t>
      </w:r>
      <w:r w:rsidRPr="00D041DD">
        <w:rPr>
          <w:rFonts w:ascii="Times New Roman" w:hAnsi="Times New Roman" w:cs="Times New Roman"/>
        </w:rPr>
        <w:t xml:space="preserve">follows uniform distribution </w:t>
      </w:r>
      <w:proofErr w:type="gramStart"/>
      <w:r w:rsidRPr="00D041DD">
        <w:rPr>
          <w:rFonts w:ascii="Times New Roman" w:hAnsi="Times New Roman" w:cs="Times New Roman"/>
          <w:i/>
          <w:iCs/>
        </w:rPr>
        <w:t>U(</w:t>
      </w:r>
      <w:proofErr w:type="gramEnd"/>
      <w:r w:rsidRPr="00D041DD">
        <w:rPr>
          <w:rFonts w:ascii="Times New Roman" w:hAnsi="Times New Roman" w:cs="Times New Roman"/>
          <w:i/>
          <w:iCs/>
        </w:rPr>
        <w:t>-2,2)</w:t>
      </w:r>
      <w:r w:rsidRPr="00D041DD">
        <w:rPr>
          <w:rFonts w:ascii="Times New Roman" w:hAnsi="Times New Roman" w:cs="Times New Roman"/>
        </w:rPr>
        <w:t xml:space="preserve">; when the update decrease CS for agent A, then </w:t>
      </w:r>
      <w:r w:rsidRPr="00D041DD">
        <w:rPr>
          <w:rFonts w:ascii="Times New Roman" w:hAnsi="Times New Roman" w:cs="Times New Roman"/>
          <w:i/>
          <w:iCs/>
        </w:rPr>
        <w:t xml:space="preserve">∆v </w:t>
      </w:r>
      <w:r w:rsidRPr="00D041DD">
        <w:rPr>
          <w:rFonts w:ascii="Times New Roman" w:hAnsi="Times New Roman" w:cs="Times New Roman"/>
        </w:rPr>
        <w:t xml:space="preserve">follows distribution </w:t>
      </w:r>
      <w:r w:rsidRPr="00D041DD">
        <w:rPr>
          <w:rFonts w:ascii="Times New Roman" w:hAnsi="Times New Roman" w:cs="Times New Roman"/>
          <w:i/>
          <w:iCs/>
        </w:rPr>
        <w:t xml:space="preserve">N(1,1) </w:t>
      </w:r>
      <w:r w:rsidRPr="00D041DD">
        <w:rPr>
          <w:rFonts w:ascii="Times New Roman" w:hAnsi="Times New Roman" w:cs="Times New Roman"/>
        </w:rPr>
        <w:t>if</w:t>
      </w:r>
      <w:r w:rsidRPr="00D041DD">
        <w:rPr>
          <w:rFonts w:ascii="Times New Roman" w:hAnsi="Times New Roman" w:cs="Times New Roman"/>
          <w:i/>
          <w:iCs/>
        </w:rPr>
        <w:t xml:space="preserve"> </w:t>
      </w:r>
      <w:r w:rsidRPr="00D041DD">
        <w:rPr>
          <w:rFonts w:ascii="Times New Roman" w:hAnsi="Times New Roman" w:cs="Times New Roman"/>
        </w:rPr>
        <w:t xml:space="preserve">value of </w:t>
      </w:r>
      <w:r w:rsidRPr="00D041DD">
        <w:rPr>
          <w:rFonts w:ascii="Times New Roman" w:hAnsi="Times New Roman" w:cs="Times New Roman"/>
          <w:i/>
          <w:iCs/>
        </w:rPr>
        <w:t xml:space="preserve">VA &gt; 0, </w:t>
      </w:r>
      <w:r w:rsidRPr="00D041DD">
        <w:rPr>
          <w:rFonts w:ascii="Times New Roman" w:hAnsi="Times New Roman" w:cs="Times New Roman"/>
        </w:rPr>
        <w:t xml:space="preserve">and then </w:t>
      </w:r>
      <w:r w:rsidRPr="00D041DD">
        <w:rPr>
          <w:rFonts w:ascii="Times New Roman" w:hAnsi="Times New Roman" w:cs="Times New Roman"/>
          <w:i/>
          <w:iCs/>
        </w:rPr>
        <w:t xml:space="preserve">∆v </w:t>
      </w:r>
      <w:r w:rsidRPr="00D041DD">
        <w:rPr>
          <w:rFonts w:ascii="Times New Roman" w:hAnsi="Times New Roman" w:cs="Times New Roman"/>
        </w:rPr>
        <w:t xml:space="preserve">follows distribution </w:t>
      </w:r>
      <w:r w:rsidRPr="00D041DD">
        <w:rPr>
          <w:rFonts w:ascii="Times New Roman" w:hAnsi="Times New Roman" w:cs="Times New Roman"/>
          <w:i/>
          <w:iCs/>
        </w:rPr>
        <w:t xml:space="preserve">N(-1,1) </w:t>
      </w:r>
      <w:r w:rsidRPr="00D041DD">
        <w:rPr>
          <w:rFonts w:ascii="Times New Roman" w:hAnsi="Times New Roman" w:cs="Times New Roman"/>
        </w:rPr>
        <w:t>if</w:t>
      </w:r>
      <w:r w:rsidRPr="00D041DD">
        <w:rPr>
          <w:rFonts w:ascii="Times New Roman" w:hAnsi="Times New Roman" w:cs="Times New Roman"/>
          <w:i/>
          <w:iCs/>
        </w:rPr>
        <w:t xml:space="preserve"> </w:t>
      </w:r>
      <w:r w:rsidRPr="00D041DD">
        <w:rPr>
          <w:rFonts w:ascii="Times New Roman" w:hAnsi="Times New Roman" w:cs="Times New Roman"/>
        </w:rPr>
        <w:t>value of</w:t>
      </w:r>
      <w:r w:rsidRPr="00D041DD">
        <w:rPr>
          <w:rFonts w:ascii="Times New Roman" w:hAnsi="Times New Roman" w:cs="Times New Roman"/>
          <w:i/>
          <w:iCs/>
        </w:rPr>
        <w:t xml:space="preserve"> VA &lt; 0</w:t>
      </w:r>
    </w:p>
    <w:p w14:paraId="2905711F" w14:textId="77777777" w:rsidR="00D041DD" w:rsidRPr="00D041DD" w:rsidRDefault="00D041DD" w:rsidP="00D041DD">
      <w:pPr>
        <w:spacing w:line="240" w:lineRule="auto"/>
        <w:jc w:val="both"/>
        <w:rPr>
          <w:rFonts w:ascii="Times New Roman" w:hAnsi="Times New Roman" w:cs="Times New Roman"/>
        </w:rPr>
      </w:pPr>
      <w:r w:rsidRPr="00D041DD">
        <w:rPr>
          <w:rFonts w:ascii="Times New Roman" w:hAnsi="Times New Roman" w:cs="Times New Roman"/>
        </w:rPr>
        <w:t xml:space="preserve">(5) Finally, the key output for our model is </w:t>
      </w:r>
      <w:r w:rsidRPr="00D041DD">
        <w:rPr>
          <w:rFonts w:ascii="Times New Roman" w:hAnsi="Times New Roman" w:cs="Times New Roman"/>
          <w:i/>
          <w:iCs/>
        </w:rPr>
        <w:t>the correction of collective judgment</w:t>
      </w:r>
      <w:r w:rsidRPr="00D041DD">
        <w:rPr>
          <w:rFonts w:ascii="Times New Roman" w:hAnsi="Times New Roman" w:cs="Times New Roman"/>
        </w:rPr>
        <w:t xml:space="preserve">, and we define “collective judgment” as the mean of all actors’ preferences. The extent of correction is the difference between initial collective judgment and the final connective judgment. The simulation ends when iterations reach given limits (1,000,000 times or higher) or agents’ preferences follow the same pattern, indicated by high group-level preference congruence. </w:t>
      </w:r>
      <w:bookmarkStart w:id="2" w:name="OLE_LINK10"/>
      <w:r w:rsidRPr="00D041DD">
        <w:rPr>
          <w:rFonts w:ascii="Times New Roman" w:hAnsi="Times New Roman" w:cs="Times New Roman"/>
        </w:rPr>
        <w:t xml:space="preserve">Goldberg and Stein (2018) </w:t>
      </w:r>
      <w:bookmarkEnd w:id="2"/>
      <w:r w:rsidRPr="00D041DD">
        <w:rPr>
          <w:rFonts w:ascii="Times New Roman" w:hAnsi="Times New Roman" w:cs="Times New Roman"/>
        </w:rPr>
        <w:t>measure the preference congruence between two agents A and B as “the absolute correlation between two agents’ preference vectors” (p. 912). To measure group-level preference congruence, they use the “mean absolute correlation between all pairs of agents’ preference vectors” (p. 912). The threshold for ending a game is group-level preference congruence &gt; 0.99.</w:t>
      </w:r>
    </w:p>
    <w:p w14:paraId="7C1C79F2" w14:textId="77777777" w:rsidR="00D041DD" w:rsidRPr="00D041DD" w:rsidRDefault="00D041DD" w:rsidP="00D041DD">
      <w:pPr>
        <w:rPr>
          <w:rFonts w:ascii="Times New Roman" w:hAnsi="Times New Roman" w:cs="Times New Roman"/>
        </w:rPr>
      </w:pPr>
    </w:p>
    <w:sectPr w:rsidR="00D041DD" w:rsidRPr="00D041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wNjA2MDC3NDQzsDBU0lEKTi0uzszPAykwrAUA+dRU9SwAAAA="/>
  </w:docVars>
  <w:rsids>
    <w:rsidRoot w:val="00A579E2"/>
    <w:rsid w:val="005A1E04"/>
    <w:rsid w:val="00A579E2"/>
    <w:rsid w:val="00A765E6"/>
    <w:rsid w:val="00D04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7663"/>
  <w15:chartTrackingRefBased/>
  <w15:docId w15:val="{EE85A803-9B64-4897-8485-41ED5A102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1873</Words>
  <Characters>10678</Characters>
  <Application>Microsoft Office Word</Application>
  <DocSecurity>0</DocSecurity>
  <Lines>88</Lines>
  <Paragraphs>25</Paragraphs>
  <ScaleCrop>false</ScaleCrop>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Yuanhao Liu</dc:creator>
  <cp:keywords/>
  <dc:description/>
  <cp:lastModifiedBy>Yuanhao Liu</cp:lastModifiedBy>
  <cp:revision>2</cp:revision>
  <dcterms:created xsi:type="dcterms:W3CDTF">2021-12-13T00:51:00Z</dcterms:created>
  <dcterms:modified xsi:type="dcterms:W3CDTF">2021-12-13T00:55:00Z</dcterms:modified>
</cp:coreProperties>
</file>