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C812" w14:textId="77777777" w:rsidR="00BC0652" w:rsidRPr="00BC0652" w:rsidRDefault="00BC0652" w:rsidP="00BC0652">
      <w:pPr>
        <w:ind w:firstLineChars="100" w:firstLine="220"/>
        <w:jc w:val="both"/>
      </w:pPr>
      <w:r w:rsidRPr="00BC0652">
        <w:t xml:space="preserve">The quality of the raw sequencing data (Read 1) was initially assessed using </w:t>
      </w:r>
      <w:proofErr w:type="spellStart"/>
      <w:r w:rsidRPr="00BC0652">
        <w:t>FastQC</w:t>
      </w:r>
      <w:proofErr w:type="spellEnd"/>
      <w:r w:rsidRPr="00BC0652">
        <w:t xml:space="preserve">. Subsequently, 3' adapter sequences were removed using </w:t>
      </w:r>
      <w:proofErr w:type="spellStart"/>
      <w:r w:rsidRPr="00BC0652">
        <w:t>Cutadapt</w:t>
      </w:r>
      <w:proofErr w:type="spellEnd"/>
      <w:r w:rsidRPr="00BC0652">
        <w:t xml:space="preserve"> (v3.1) (parameters: -j 16 -e 0.1 -O 10 -m 1), and low-quality reads alongside sequences with inappropriate lengths were discarded to yield clean data.</w:t>
      </w:r>
    </w:p>
    <w:p w14:paraId="4E7F3414" w14:textId="77777777" w:rsidR="00BC0652" w:rsidRPr="00BC0652" w:rsidRDefault="00BC0652" w:rsidP="00BC0652">
      <w:pPr>
        <w:ind w:firstLineChars="100" w:firstLine="220"/>
        <w:jc w:val="both"/>
      </w:pPr>
      <w:r w:rsidRPr="00BC0652">
        <w:t xml:space="preserve">To deplete ribosomal RNA (rRNA) sequences, the clean reads were aligned to the rRNA sequences of the GRCh37.p13 (hg19) reference genome using Bowtie1 (v1.3.1) (parameters: -S -p 8). Next, reads ranging from 24 to 34 </w:t>
      </w:r>
      <w:proofErr w:type="spellStart"/>
      <w:r w:rsidRPr="00BC0652">
        <w:t>nt</w:t>
      </w:r>
      <w:proofErr w:type="spellEnd"/>
      <w:r w:rsidRPr="00BC0652">
        <w:t xml:space="preserve"> in length were selected as candidate ribosome-protected fragments (RPFs) and mapped to the reference genome using STAR (v2.6.1a, parameters: </w:t>
      </w:r>
      <w:proofErr w:type="spellStart"/>
      <w:r w:rsidRPr="00BC0652">
        <w:t>chimOutType</w:t>
      </w:r>
      <w:proofErr w:type="spellEnd"/>
      <w:r w:rsidRPr="00BC0652">
        <w:t xml:space="preserve"> Junctions, </w:t>
      </w:r>
      <w:proofErr w:type="spellStart"/>
      <w:r w:rsidRPr="00BC0652">
        <w:t>chimSegmentMin</w:t>
      </w:r>
      <w:proofErr w:type="spellEnd"/>
      <w:r w:rsidRPr="00BC0652">
        <w:t xml:space="preserve">=5, </w:t>
      </w:r>
      <w:proofErr w:type="spellStart"/>
      <w:r w:rsidRPr="00BC0652">
        <w:t>chimScoreMin</w:t>
      </w:r>
      <w:proofErr w:type="spellEnd"/>
      <w:r w:rsidRPr="00BC0652">
        <w:t xml:space="preserve">=1, </w:t>
      </w:r>
      <w:proofErr w:type="spellStart"/>
      <w:r w:rsidRPr="00BC0652">
        <w:t>chimScoreSeparation</w:t>
      </w:r>
      <w:proofErr w:type="spellEnd"/>
      <w:r w:rsidRPr="00BC0652">
        <w:t xml:space="preserve">=5, </w:t>
      </w:r>
      <w:proofErr w:type="spellStart"/>
      <w:r w:rsidRPr="00BC0652">
        <w:t>chimJunctionOverhangMin</w:t>
      </w:r>
      <w:proofErr w:type="spellEnd"/>
      <w:r w:rsidRPr="00BC0652">
        <w:t xml:space="preserve">=3, </w:t>
      </w:r>
      <w:proofErr w:type="spellStart"/>
      <w:r w:rsidRPr="00BC0652">
        <w:t>chimMultimapNmax</w:t>
      </w:r>
      <w:proofErr w:type="spellEnd"/>
      <w:r w:rsidRPr="00BC0652">
        <w:t xml:space="preserve">=20, </w:t>
      </w:r>
      <w:proofErr w:type="spellStart"/>
      <w:r w:rsidRPr="00BC0652">
        <w:t>chimMultimapScoreRange</w:t>
      </w:r>
      <w:proofErr w:type="spellEnd"/>
      <w:r w:rsidRPr="00BC0652">
        <w:t xml:space="preserve">=3, </w:t>
      </w:r>
      <w:proofErr w:type="spellStart"/>
      <w:r w:rsidRPr="00BC0652">
        <w:t>chimNonchimScoreDropMin</w:t>
      </w:r>
      <w:proofErr w:type="spellEnd"/>
      <w:r w:rsidRPr="00BC0652">
        <w:t>=10). The resulting alignments were utilized for downstream analyses.</w:t>
      </w:r>
    </w:p>
    <w:p w14:paraId="00FDBF6E" w14:textId="77777777" w:rsidR="00BC0652" w:rsidRPr="00BC0652" w:rsidRDefault="00BC0652" w:rsidP="00BC0652">
      <w:pPr>
        <w:ind w:firstLineChars="100" w:firstLine="220"/>
        <w:jc w:val="both"/>
      </w:pPr>
      <w:r w:rsidRPr="00BC0652">
        <w:t xml:space="preserve">The translation landscape was delineated using </w:t>
      </w:r>
      <w:proofErr w:type="spellStart"/>
      <w:r w:rsidRPr="00BC0652">
        <w:t>RiboCode</w:t>
      </w:r>
      <w:proofErr w:type="spellEnd"/>
      <w:r w:rsidRPr="00BC0652">
        <w:t xml:space="preserve"> (v1.2.15) (parameters: -l yes -g). </w:t>
      </w:r>
      <w:proofErr w:type="spellStart"/>
      <w:r w:rsidRPr="00BC0652">
        <w:t>RiboCode</w:t>
      </w:r>
      <w:proofErr w:type="spellEnd"/>
      <w:r w:rsidRPr="00BC0652">
        <w:t xml:space="preserve"> searches for candidate open reading frames (ORFs) from the start codon to the stop codon and tallies the number of P-sites at each nucleotide position. A Wilcoxon signed-rank test was then applied to evaluate the translation signal, and the start codon was determined based on the 3-nt periodicity and the distribution characteristics of RPF reads. ORF expression quantification for each sample was performed using </w:t>
      </w:r>
      <w:proofErr w:type="spellStart"/>
      <w:r w:rsidRPr="00BC0652">
        <w:t>featureCounts</w:t>
      </w:r>
      <w:proofErr w:type="spellEnd"/>
      <w:r w:rsidRPr="00BC0652">
        <w:t xml:space="preserve"> (v1.6.3) (parameters: -s 0 -T 8 -t exon -g </w:t>
      </w:r>
      <w:proofErr w:type="spellStart"/>
      <w:r w:rsidRPr="00BC0652">
        <w:t>orf_id</w:t>
      </w:r>
      <w:proofErr w:type="spellEnd"/>
      <w:r w:rsidRPr="00BC0652">
        <w:t xml:space="preserve">). Subsequently, differential expression analysis was conducted utilizing the </w:t>
      </w:r>
      <w:proofErr w:type="spellStart"/>
      <w:r w:rsidRPr="00BC0652">
        <w:t>edgeR</w:t>
      </w:r>
      <w:proofErr w:type="spellEnd"/>
      <w:r w:rsidRPr="00BC0652">
        <w:t xml:space="preserve"> package (v3.40.2). Briefly, ORF counts were normalized using the Trimmed Mean of M-values (TMM) method to eliminate sequencing depth variations across samples. Statistical modeling of read counts was performed based on a negative binomial model, and group differences were evaluated using the likelihood ratio test (LRT). Differentially expressed ORFs were defined by a fold-change ≥ 1.5 and a </w:t>
      </w:r>
      <w:r w:rsidRPr="00BC0652">
        <w:rPr>
          <w:i/>
          <w:iCs/>
        </w:rPr>
        <w:t>P</w:t>
      </w:r>
      <w:r w:rsidRPr="00BC0652">
        <w:t>-value ≤ 0.05, and the results were visualized using volcano plots and clustered heatmaps.</w:t>
      </w:r>
    </w:p>
    <w:p w14:paraId="21A5A279" w14:textId="77777777" w:rsidR="00BC0652" w:rsidRPr="00BC0652" w:rsidRDefault="00BC0652" w:rsidP="00BC0652">
      <w:pPr>
        <w:ind w:firstLineChars="100" w:firstLine="220"/>
        <w:jc w:val="both"/>
      </w:pPr>
      <w:r w:rsidRPr="00BC0652">
        <w:t xml:space="preserve">Functional enrichment analyses, including Gene Ontology (GO) and Kyoto Encyclopedia of Genes and Genomes (KEGG) pathways, were performed on genes corresponding to the differentially expressed ORFs using the </w:t>
      </w:r>
      <w:proofErr w:type="spellStart"/>
      <w:r w:rsidRPr="00BC0652">
        <w:t>clusterProfiler</w:t>
      </w:r>
      <w:proofErr w:type="spellEnd"/>
      <w:r w:rsidRPr="00BC0652">
        <w:t xml:space="preserve"> package. </w:t>
      </w:r>
      <w:proofErr w:type="spellStart"/>
      <w:r w:rsidRPr="00BC0652">
        <w:t>Reactome</w:t>
      </w:r>
      <w:proofErr w:type="spellEnd"/>
      <w:r w:rsidRPr="00BC0652">
        <w:t xml:space="preserve"> pathway analysis was additionally conducted using the </w:t>
      </w:r>
      <w:proofErr w:type="spellStart"/>
      <w:r w:rsidRPr="00BC0652">
        <w:t>Reactome</w:t>
      </w:r>
      <w:proofErr w:type="spellEnd"/>
      <w:r w:rsidRPr="00BC0652">
        <w:t xml:space="preserve"> database. A </w:t>
      </w:r>
      <w:r w:rsidRPr="00BC0652">
        <w:rPr>
          <w:i/>
          <w:iCs/>
        </w:rPr>
        <w:t>P</w:t>
      </w:r>
      <w:r w:rsidRPr="00BC0652">
        <w:t>-value &lt; 0.05 was considered the threshold for significant enrichment.</w:t>
      </w:r>
    </w:p>
    <w:p w14:paraId="6A56C8AF" w14:textId="77777777" w:rsidR="00BC0652" w:rsidRPr="00BC0652" w:rsidRDefault="00BC0652" w:rsidP="00BC0652">
      <w:pPr>
        <w:ind w:firstLineChars="100" w:firstLine="220"/>
        <w:jc w:val="both"/>
      </w:pPr>
      <w:r w:rsidRPr="00BC0652">
        <w:t xml:space="preserve">To calculate the translation efficiency (TE) for each gene, we integrated the </w:t>
      </w:r>
      <w:proofErr w:type="spellStart"/>
      <w:r w:rsidRPr="00BC0652">
        <w:t>deltaTE</w:t>
      </w:r>
      <w:proofErr w:type="spellEnd"/>
      <w:r w:rsidRPr="00BC0652">
        <w:t xml:space="preserve"> method for paired comparisons of differential translation efficiency between Ribo-seq and corresponding RNA-seq data. Initially, read counts for all genes in both RNA-seq and Ribo-seq datasets were quantified using </w:t>
      </w:r>
      <w:proofErr w:type="spellStart"/>
      <w:r w:rsidRPr="00BC0652">
        <w:t>featureCounts</w:t>
      </w:r>
      <w:proofErr w:type="spellEnd"/>
      <w:r w:rsidRPr="00BC0652">
        <w:t xml:space="preserve"> (results are provided in rna_counts.txt and ribo_counts.txt, respectively). Subsequently, </w:t>
      </w:r>
      <w:proofErr w:type="spellStart"/>
      <w:r w:rsidRPr="00BC0652">
        <w:t>deltaTE</w:t>
      </w:r>
      <w:proofErr w:type="spellEnd"/>
      <w:r w:rsidRPr="00BC0652">
        <w:t xml:space="preserve"> constructed a differential comparison model based on DESeq2 to obtain the differential translation </w:t>
      </w:r>
      <w:r w:rsidRPr="00BC0652">
        <w:lastRenderedPageBreak/>
        <w:t xml:space="preserve">efficiency for each gene. A fold-change ≥ 1.5 and a </w:t>
      </w:r>
      <w:r w:rsidRPr="00BC0652">
        <w:rPr>
          <w:i/>
          <w:iCs/>
        </w:rPr>
        <w:t>P</w:t>
      </w:r>
      <w:r w:rsidRPr="00BC0652">
        <w:t>-value ≤ 0.05 were adopted as the significance thresholds, comprehensively taking into account differential translation efficiency, differential translation levels, and differential transcription levels.</w:t>
      </w:r>
    </w:p>
    <w:p w14:paraId="776547E4" w14:textId="5071B73F" w:rsidR="005C7BAE" w:rsidRPr="00BC0652" w:rsidRDefault="00BC0652" w:rsidP="00BC0652">
      <w:pPr>
        <w:ind w:firstLineChars="100" w:firstLine="220"/>
        <w:jc w:val="both"/>
        <w:rPr>
          <w:rFonts w:hint="eastAsia"/>
        </w:rPr>
      </w:pPr>
      <w:r w:rsidRPr="00BC0652">
        <w:t xml:space="preserve">Finally, a back-spliced junction (BSJ) index was constructed based on known </w:t>
      </w:r>
      <w:proofErr w:type="spellStart"/>
      <w:r w:rsidRPr="00BC0652">
        <w:t>circRNAs</w:t>
      </w:r>
      <w:proofErr w:type="spellEnd"/>
      <w:r w:rsidRPr="00BC0652">
        <w:t xml:space="preserve"> from the </w:t>
      </w:r>
      <w:proofErr w:type="spellStart"/>
      <w:r w:rsidRPr="00BC0652">
        <w:t>circBank</w:t>
      </w:r>
      <w:proofErr w:type="spellEnd"/>
      <w:r w:rsidRPr="00BC0652">
        <w:t xml:space="preserve"> database. RPFs that failed to align to the reference genome were mapped to the BSJ using Bowtie (parameters: -S -p 12 -v 2 -k 1 --best) in an end-to-end mode (allowing a maximum of 2 mismatches, with reads required to span the circularization site by at least 3 </w:t>
      </w:r>
      <w:proofErr w:type="spellStart"/>
      <w:r w:rsidRPr="00BC0652">
        <w:t>nt</w:t>
      </w:r>
      <w:proofErr w:type="spellEnd"/>
      <w:r w:rsidRPr="00BC0652">
        <w:t xml:space="preserve">) to identify </w:t>
      </w:r>
      <w:proofErr w:type="spellStart"/>
      <w:r w:rsidRPr="00BC0652">
        <w:t>circRNAs</w:t>
      </w:r>
      <w:proofErr w:type="spellEnd"/>
      <w:r w:rsidRPr="00BC0652">
        <w:t xml:space="preserve"> with potential translation activity. To further investigate the translational potential of differentially expressed </w:t>
      </w:r>
      <w:proofErr w:type="spellStart"/>
      <w:r w:rsidRPr="00BC0652">
        <w:t>circRNAs</w:t>
      </w:r>
      <w:proofErr w:type="spellEnd"/>
      <w:r w:rsidRPr="00BC0652">
        <w:t xml:space="preserve">, we employed a three-step analytical pipeline: predicting the coding potential of ORFs using CPC2, identifying ORFs using </w:t>
      </w:r>
      <w:proofErr w:type="gramStart"/>
      <w:r w:rsidRPr="00BC0652">
        <w:t>EMBOSS::</w:t>
      </w:r>
      <w:proofErr w:type="spellStart"/>
      <w:proofErr w:type="gramEnd"/>
      <w:r w:rsidRPr="00BC0652">
        <w:t>getorf</w:t>
      </w:r>
      <w:proofErr w:type="spellEnd"/>
      <w:r w:rsidRPr="00BC0652">
        <w:t xml:space="preserve"> (parameters: -table 0 -</w:t>
      </w:r>
      <w:proofErr w:type="spellStart"/>
      <w:r w:rsidRPr="00BC0652">
        <w:t>minsize</w:t>
      </w:r>
      <w:proofErr w:type="spellEnd"/>
      <w:r w:rsidRPr="00BC0652">
        <w:t xml:space="preserve"> 30 -find 3 -methionine Y -reverse N -circular Y), and identifying Internal Ribosome Entry Site (IRES) elements using </w:t>
      </w:r>
      <w:proofErr w:type="spellStart"/>
      <w:r w:rsidRPr="00BC0652">
        <w:t>IRESfinder</w:t>
      </w:r>
      <w:proofErr w:type="spellEnd"/>
      <w:r w:rsidRPr="00BC0652">
        <w:t xml:space="preserve"> (parameters: -m 2 -w 174 -s 50).</w:t>
      </w:r>
    </w:p>
    <w:sectPr w:rsidR="005C7BAE" w:rsidRPr="00BC0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1D55" w14:textId="77777777" w:rsidR="00F367DF" w:rsidRDefault="00F367DF" w:rsidP="00BC06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97D8F9B" w14:textId="77777777" w:rsidR="00F367DF" w:rsidRDefault="00F367DF" w:rsidP="00BC06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D860" w14:textId="77777777" w:rsidR="00F367DF" w:rsidRDefault="00F367DF" w:rsidP="00BC06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83E7DE2" w14:textId="77777777" w:rsidR="00F367DF" w:rsidRDefault="00F367DF" w:rsidP="00BC06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53"/>
    <w:rsid w:val="000620CF"/>
    <w:rsid w:val="001534C9"/>
    <w:rsid w:val="00171C52"/>
    <w:rsid w:val="001D72C1"/>
    <w:rsid w:val="00214C20"/>
    <w:rsid w:val="00233B59"/>
    <w:rsid w:val="002862BC"/>
    <w:rsid w:val="002D057B"/>
    <w:rsid w:val="004A1A3E"/>
    <w:rsid w:val="0051408B"/>
    <w:rsid w:val="005C7BAE"/>
    <w:rsid w:val="00655756"/>
    <w:rsid w:val="006F74A8"/>
    <w:rsid w:val="00734B26"/>
    <w:rsid w:val="00781863"/>
    <w:rsid w:val="007D7ACF"/>
    <w:rsid w:val="00837753"/>
    <w:rsid w:val="008A4E3D"/>
    <w:rsid w:val="009D3A28"/>
    <w:rsid w:val="00A33DBD"/>
    <w:rsid w:val="00AF5550"/>
    <w:rsid w:val="00B252E1"/>
    <w:rsid w:val="00B66EC3"/>
    <w:rsid w:val="00BC0652"/>
    <w:rsid w:val="00C93988"/>
    <w:rsid w:val="00CF5ACA"/>
    <w:rsid w:val="00D5122A"/>
    <w:rsid w:val="00DA4958"/>
    <w:rsid w:val="00DB4342"/>
    <w:rsid w:val="00DB7DE7"/>
    <w:rsid w:val="00E03B14"/>
    <w:rsid w:val="00E229C3"/>
    <w:rsid w:val="00E25E34"/>
    <w:rsid w:val="00E5411B"/>
    <w:rsid w:val="00EA350C"/>
    <w:rsid w:val="00F27F8C"/>
    <w:rsid w:val="00F31B7D"/>
    <w:rsid w:val="00F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0E5EE"/>
  <w15:chartTrackingRefBased/>
  <w15:docId w15:val="{89381EA6-A2CB-49A4-B2B5-BF6E9869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7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7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7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7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75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7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7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7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14C20"/>
    <w:pPr>
      <w:spacing w:line="240" w:lineRule="auto"/>
    </w:pPr>
    <w:rPr>
      <w:rFonts w:ascii="Times New Roman" w:eastAsia="Times New Roman" w:hAnsi="Times New Roman"/>
      <w:color w:val="000000" w:themeColor="text1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377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77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77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77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77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77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775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377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3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377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377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37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3775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3775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3775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3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37753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3775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C06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C065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C06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C06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元浩 吕</dc:creator>
  <cp:keywords/>
  <dc:description/>
  <cp:lastModifiedBy>元浩 吕</cp:lastModifiedBy>
  <cp:revision>2</cp:revision>
  <dcterms:created xsi:type="dcterms:W3CDTF">2026-10-11T12:34:00Z</dcterms:created>
  <dcterms:modified xsi:type="dcterms:W3CDTF">2026-10-11T12:35:00Z</dcterms:modified>
</cp:coreProperties>
</file>