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Hei"/>
          <w:b/>
          <w:sz w:val="44"/>
        </w:rPr>
        <w:br/>
        <w:br/>
        <w:t>太阳活动周趋势预测实现方法报告</w:t>
      </w:r>
    </w:p>
    <w:p>
      <w:pPr>
        <w:jc w:val="center"/>
      </w:pPr>
      <w:r>
        <w:rPr>
          <w:rFonts w:ascii="Times New Roman" w:hAnsi="Times New Roman" w:eastAsia="SimSun"/>
          <w:sz w:val="28"/>
        </w:rPr>
        <w:t>数据处理、模型设计、验证方案与优化路径</w:t>
      </w:r>
    </w:p>
    <w:p>
      <w:pPr>
        <w:jc w:val="center"/>
      </w:pPr>
      <w:r>
        <w:rPr>
          <w:rFonts w:ascii="Times New Roman" w:hAnsi="Times New Roman" w:eastAsia="SimSun"/>
          <w:sz w:val="22"/>
        </w:rPr>
        <w:br/>
        <w:t>研究对象：月平均太阳黑子数与太阳活动周趋势预测</w:t>
        <w:br/>
        <w:t>数据范围：1867-02 至 2025-10</w:t>
        <w:br/>
        <w:t>验证对象：Solar Cycle 24、Solar Cycle 25</w:t>
        <w:br/>
        <w:t>预测对象：Solar Cycle 25 剩余段与 Solar Cycle 26 情景趋势</w:t>
      </w:r>
    </w:p>
    <w:p>
      <w:r>
        <w:br w:type="page"/>
      </w:r>
    </w:p>
    <w:p>
      <w:pPr>
        <w:pStyle w:val="Heading1"/>
      </w:pPr>
      <w:r>
        <w:t>一、研究目标与技术定位</w:t>
      </w:r>
    </w:p>
    <w:p>
      <w:pPr>
        <w:jc w:val="both"/>
      </w:pPr>
      <w:r>
        <w:rPr>
          <w:rFonts w:ascii="Times New Roman" w:hAnsi="Times New Roman" w:eastAsia="SimSun"/>
          <w:sz w:val="21"/>
        </w:rPr>
        <w:t>本工作的目标是建立一个面向下一太阳活动周的长期趋势预测流程。与常规 1–24 个月逐月短期预测不同，本任务更关注太阳活动周尺度上的关键特征，包括活动周起点、峰值时间、峰值强度、下降段趋势以及下一活动周启动时间。因此，评价体系不能只依赖相关系数或 RMSE，而应同时包含峰值时间误差、峰值幅度误差和弱/中/强情景范围。</w:t>
      </w:r>
    </w:p>
    <w:p>
      <w:pPr>
        <w:jc w:val="both"/>
      </w:pPr>
      <w:r>
        <w:rPr>
          <w:rFonts w:ascii="Times New Roman" w:hAnsi="Times New Roman" w:eastAsia="SimSun"/>
          <w:sz w:val="21"/>
        </w:rPr>
        <w:t>早期尝试曾采用分阶段 PatchTST 和硬路由预测，但由于阶段样本量较少、模型参数量偏大、训练/验证窗口可能重叠、分阶段 scaler 不一致以及阶段路由不稳定，容易出现峰值低估和滚动误差累积。因此，本版实现改为更适合长期周期趋势的“周期形态建模 + Waldmeier 校正 + 参数化曲线 + 情景输出”框架。</w:t>
      </w:r>
    </w:p>
    <w:p>
      <w:pPr>
        <w:jc w:val="center"/>
      </w:pPr>
      <w:r>
        <w:drawing>
          <wp:inline xmlns:a="http://schemas.openxmlformats.org/drawingml/2006/main" xmlns:pic="http://schemas.openxmlformats.org/drawingml/2006/picture">
            <wp:extent cx="5669280" cy="3380369"/>
            <wp:docPr id="1" name="Picture 1"/>
            <wp:cNvGraphicFramePr>
              <a:graphicFrameLocks noChangeAspect="1"/>
            </wp:cNvGraphicFramePr>
            <a:graphic>
              <a:graphicData uri="http://schemas.openxmlformats.org/drawingml/2006/picture">
                <pic:pic>
                  <pic:nvPicPr>
                    <pic:cNvPr id="0" name="fig_method_workflow.png"/>
                    <pic:cNvPicPr/>
                  </pic:nvPicPr>
                  <pic:blipFill>
                    <a:blip r:embed="rId11"/>
                    <a:stretch>
                      <a:fillRect/>
                    </a:stretch>
                  </pic:blipFill>
                  <pic:spPr>
                    <a:xfrm>
                      <a:off x="0" y="0"/>
                      <a:ext cx="5669280" cy="3380369"/>
                    </a:xfrm>
                    <a:prstGeom prst="rect"/>
                  </pic:spPr>
                </pic:pic>
              </a:graphicData>
            </a:graphic>
          </wp:inline>
        </w:drawing>
      </w:r>
    </w:p>
    <w:p>
      <w:pPr>
        <w:jc w:val="center"/>
      </w:pPr>
      <w:r>
        <w:rPr>
          <w:rFonts w:ascii="Times New Roman" w:hAnsi="Times New Roman" w:eastAsia="SimSun"/>
          <w:i/>
          <w:sz w:val="18"/>
        </w:rPr>
        <w:t>图1  太阳活动周趋势预测总体流程</w:t>
      </w:r>
    </w:p>
    <w:p>
      <w:pPr>
        <w:pStyle w:val="Heading1"/>
      </w:pPr>
      <w:r>
        <w:t>二、数据处理与活动周识别</w:t>
      </w:r>
    </w:p>
    <w:p>
      <w:pPr>
        <w:jc w:val="both"/>
      </w:pPr>
      <w:r>
        <w:rPr>
          <w:rFonts w:ascii="Times New Roman" w:hAnsi="Times New Roman" w:eastAsia="SimSun"/>
          <w:sz w:val="21"/>
        </w:rPr>
        <w:t>输入数据为月平均太阳黑子数序列，字段包括 date 与 ssn。首先对原始 SSN 进行 13 月滑动平滑，得到 ssn_smooth，用于削弱月尺度随机波动并突出太阳活动周形态。随后基于平滑序列识别极小值和极大值，确定太阳活动周起点、终点、峰值时间、周期长度和峰值强度。</w:t>
      </w:r>
    </w:p>
    <w:p>
      <w:pPr>
        <w:jc w:val="both"/>
      </w:pPr>
      <w:r>
        <w:rPr>
          <w:rFonts w:ascii="Times New Roman" w:hAnsi="Times New Roman" w:eastAsia="SimSun"/>
          <w:sz w:val="21"/>
        </w:rPr>
        <w:t>活动周识别结果进一步用于构建历史周期形态库。每一个完整太阳活动周被归一化到周期内部月份坐标，并记录周期长度、峰值月份、峰值强度和起点强度。这一步是后续相似周期匹配、参数化曲线拟合和情景预测的基础。</w:t>
      </w:r>
    </w:p>
    <w:tbl>
      <w:tblPr>
        <w:tblW w:type="auto" w:w="0"/>
        <w:jc w:val="center"/>
        <w:tblLook w:firstColumn="1" w:firstRow="1" w:lastColumn="0" w:lastRow="0" w:noHBand="0" w:noVBand="1" w:val="04A0"/>
        <w:tblBorders>
          <w:top w:val="single" w:sz="12" w:color="000000"/>
          <w:left w:val="nil"/>
          <w:bottom w:val="single" w:sz="12" w:color="000000"/>
          <w:right w:val="nil"/>
          <w:insideH w:val="single" w:sz="4" w:color="BFBFBF"/>
          <w:insideV w:val="nil"/>
        </w:tblBorders>
      </w:tblPr>
      <w:tblGrid>
        <w:gridCol w:w="1344"/>
        <w:gridCol w:w="1344"/>
        <w:gridCol w:w="1344"/>
        <w:gridCol w:w="1344"/>
        <w:gridCol w:w="1344"/>
        <w:gridCol w:w="1344"/>
        <w:gridCol w:w="1344"/>
      </w:tblGrid>
      <w:tr>
        <w:tc>
          <w:tcPr>
            <w:tcW w:type="dxa" w:w="1344"/>
            <w:vAlign w:val="center"/>
            <w:tcBorders>
              <w:bottom w:val="single" w:sz="8" w:color="000000"/>
            </w:tcBorders>
          </w:tcPr>
          <w:p>
            <w:pPr>
              <w:jc w:val="center"/>
            </w:pPr>
            <w:r/>
            <w:r>
              <w:rPr>
                <w:rFonts w:ascii="Times New Roman" w:hAnsi="Times New Roman" w:eastAsia="SimSun"/>
                <w:b/>
                <w:sz w:val="19"/>
              </w:rPr>
              <w:t>周期</w:t>
            </w:r>
          </w:p>
        </w:tc>
        <w:tc>
          <w:tcPr>
            <w:tcW w:type="dxa" w:w="1344"/>
            <w:vAlign w:val="center"/>
            <w:tcBorders>
              <w:bottom w:val="single" w:sz="8" w:color="000000"/>
            </w:tcBorders>
          </w:tcPr>
          <w:p>
            <w:pPr>
              <w:jc w:val="center"/>
            </w:pPr>
            <w:r/>
            <w:r>
              <w:rPr>
                <w:rFonts w:ascii="Times New Roman" w:hAnsi="Times New Roman" w:eastAsia="SimSun"/>
                <w:b/>
                <w:sz w:val="19"/>
              </w:rPr>
              <w:t>起点</w:t>
            </w:r>
          </w:p>
        </w:tc>
        <w:tc>
          <w:tcPr>
            <w:tcW w:type="dxa" w:w="1344"/>
            <w:vAlign w:val="center"/>
            <w:tcBorders>
              <w:bottom w:val="single" w:sz="8" w:color="000000"/>
            </w:tcBorders>
          </w:tcPr>
          <w:p>
            <w:pPr>
              <w:jc w:val="center"/>
            </w:pPr>
            <w:r/>
            <w:r>
              <w:rPr>
                <w:rFonts w:ascii="Times New Roman" w:hAnsi="Times New Roman" w:eastAsia="SimSun"/>
                <w:b/>
                <w:sz w:val="19"/>
              </w:rPr>
              <w:t>终点</w:t>
            </w:r>
          </w:p>
        </w:tc>
        <w:tc>
          <w:tcPr>
            <w:tcW w:type="dxa" w:w="1344"/>
            <w:vAlign w:val="center"/>
            <w:tcBorders>
              <w:bottom w:val="single" w:sz="8" w:color="000000"/>
            </w:tcBorders>
          </w:tcPr>
          <w:p>
            <w:pPr>
              <w:jc w:val="center"/>
            </w:pPr>
            <w:r/>
            <w:r>
              <w:rPr>
                <w:rFonts w:ascii="Times New Roman" w:hAnsi="Times New Roman" w:eastAsia="SimSun"/>
                <w:b/>
                <w:sz w:val="19"/>
              </w:rPr>
              <w:t>完整</w:t>
            </w:r>
          </w:p>
        </w:tc>
        <w:tc>
          <w:tcPr>
            <w:tcW w:type="dxa" w:w="1344"/>
            <w:vAlign w:val="center"/>
            <w:tcBorders>
              <w:bottom w:val="single" w:sz="8" w:color="000000"/>
            </w:tcBorders>
          </w:tcPr>
          <w:p>
            <w:pPr>
              <w:jc w:val="center"/>
            </w:pPr>
            <w:r/>
            <w:r>
              <w:rPr>
                <w:rFonts w:ascii="Times New Roman" w:hAnsi="Times New Roman" w:eastAsia="SimSun"/>
                <w:b/>
                <w:sz w:val="19"/>
              </w:rPr>
              <w:t>长度/月</w:t>
            </w:r>
          </w:p>
        </w:tc>
        <w:tc>
          <w:tcPr>
            <w:tcW w:type="dxa" w:w="1344"/>
            <w:vAlign w:val="center"/>
            <w:tcBorders>
              <w:bottom w:val="single" w:sz="8" w:color="000000"/>
            </w:tcBorders>
          </w:tcPr>
          <w:p>
            <w:pPr>
              <w:jc w:val="center"/>
            </w:pPr>
            <w:r/>
            <w:r>
              <w:rPr>
                <w:rFonts w:ascii="Times New Roman" w:hAnsi="Times New Roman" w:eastAsia="SimSun"/>
                <w:b/>
                <w:sz w:val="19"/>
              </w:rPr>
              <w:t>峰值时间</w:t>
            </w:r>
          </w:p>
        </w:tc>
        <w:tc>
          <w:tcPr>
            <w:tcW w:type="dxa" w:w="1344"/>
            <w:vAlign w:val="center"/>
            <w:tcBorders>
              <w:bottom w:val="single" w:sz="8" w:color="000000"/>
            </w:tcBorders>
          </w:tcPr>
          <w:p>
            <w:pPr>
              <w:jc w:val="center"/>
            </w:pPr>
            <w:r/>
            <w:r>
              <w:rPr>
                <w:rFonts w:ascii="Times New Roman" w:hAnsi="Times New Roman" w:eastAsia="SimSun"/>
                <w:b/>
                <w:sz w:val="19"/>
              </w:rPr>
              <w:t>平滑峰值</w:t>
            </w:r>
          </w:p>
        </w:tc>
      </w:tr>
      <w:tr>
        <w:tc>
          <w:tcPr>
            <w:tcW w:type="dxa" w:w="1344"/>
            <w:vAlign w:val="center"/>
          </w:tcPr>
          <w:p>
            <w:pPr>
              <w:jc w:val="center"/>
            </w:pPr>
            <w:r/>
            <w:r>
              <w:rPr>
                <w:rFonts w:ascii="Times New Roman" w:hAnsi="Times New Roman" w:eastAsia="SimSun"/>
                <w:b w:val="0"/>
                <w:sz w:val="18"/>
              </w:rPr>
              <w:t>21</w:t>
            </w:r>
          </w:p>
        </w:tc>
        <w:tc>
          <w:tcPr>
            <w:tcW w:type="dxa" w:w="1344"/>
            <w:vAlign w:val="center"/>
          </w:tcPr>
          <w:p>
            <w:pPr>
              <w:jc w:val="center"/>
            </w:pPr>
            <w:r/>
            <w:r>
              <w:rPr>
                <w:rFonts w:ascii="Times New Roman" w:hAnsi="Times New Roman" w:eastAsia="SimSun"/>
                <w:b w:val="0"/>
                <w:sz w:val="18"/>
              </w:rPr>
              <w:t>1976-06</w:t>
            </w:r>
          </w:p>
        </w:tc>
        <w:tc>
          <w:tcPr>
            <w:tcW w:type="dxa" w:w="1344"/>
            <w:vAlign w:val="center"/>
          </w:tcPr>
          <w:p>
            <w:pPr>
              <w:jc w:val="center"/>
            </w:pPr>
            <w:r/>
            <w:r>
              <w:rPr>
                <w:rFonts w:ascii="Times New Roman" w:hAnsi="Times New Roman" w:eastAsia="SimSun"/>
                <w:b w:val="0"/>
                <w:sz w:val="18"/>
              </w:rPr>
              <w:t>1986-02</w:t>
            </w:r>
          </w:p>
        </w:tc>
        <w:tc>
          <w:tcPr>
            <w:tcW w:type="dxa" w:w="1344"/>
            <w:vAlign w:val="center"/>
          </w:tcPr>
          <w:p>
            <w:pPr>
              <w:jc w:val="center"/>
            </w:pPr>
            <w:r/>
            <w:r>
              <w:rPr>
                <w:rFonts w:ascii="Times New Roman" w:hAnsi="Times New Roman" w:eastAsia="SimSun"/>
                <w:b w:val="0"/>
                <w:sz w:val="18"/>
              </w:rPr>
              <w:t>True</w:t>
            </w:r>
          </w:p>
        </w:tc>
        <w:tc>
          <w:tcPr>
            <w:tcW w:type="dxa" w:w="1344"/>
            <w:vAlign w:val="center"/>
          </w:tcPr>
          <w:p>
            <w:pPr>
              <w:jc w:val="center"/>
            </w:pPr>
            <w:r/>
            <w:r>
              <w:rPr>
                <w:rFonts w:ascii="Times New Roman" w:hAnsi="Times New Roman" w:eastAsia="SimSun"/>
                <w:b w:val="0"/>
                <w:sz w:val="18"/>
              </w:rPr>
              <w:t>117</w:t>
            </w:r>
          </w:p>
        </w:tc>
        <w:tc>
          <w:tcPr>
            <w:tcW w:type="dxa" w:w="1344"/>
            <w:vAlign w:val="center"/>
          </w:tcPr>
          <w:p>
            <w:pPr>
              <w:jc w:val="center"/>
            </w:pPr>
            <w:r/>
            <w:r>
              <w:rPr>
                <w:rFonts w:ascii="Times New Roman" w:hAnsi="Times New Roman" w:eastAsia="SimSun"/>
                <w:b w:val="0"/>
                <w:sz w:val="18"/>
              </w:rPr>
              <w:t>1979-12</w:t>
            </w:r>
          </w:p>
        </w:tc>
        <w:tc>
          <w:tcPr>
            <w:tcW w:type="dxa" w:w="1344"/>
            <w:vAlign w:val="center"/>
          </w:tcPr>
          <w:p>
            <w:pPr>
              <w:jc w:val="center"/>
            </w:pPr>
            <w:r/>
            <w:r>
              <w:rPr>
                <w:rFonts w:ascii="Times New Roman" w:hAnsi="Times New Roman" w:eastAsia="SimSun"/>
                <w:b w:val="0"/>
                <w:sz w:val="18"/>
              </w:rPr>
              <w:t>231.71</w:t>
            </w:r>
          </w:p>
        </w:tc>
      </w:tr>
      <w:tr>
        <w:tc>
          <w:tcPr>
            <w:tcW w:type="dxa" w:w="1344"/>
            <w:vAlign w:val="center"/>
          </w:tcPr>
          <w:p>
            <w:pPr>
              <w:jc w:val="center"/>
            </w:pPr>
            <w:r/>
            <w:r>
              <w:rPr>
                <w:rFonts w:ascii="Times New Roman" w:hAnsi="Times New Roman" w:eastAsia="SimSun"/>
                <w:b w:val="0"/>
                <w:sz w:val="18"/>
              </w:rPr>
              <w:t>22</w:t>
            </w:r>
          </w:p>
        </w:tc>
        <w:tc>
          <w:tcPr>
            <w:tcW w:type="dxa" w:w="1344"/>
            <w:vAlign w:val="center"/>
          </w:tcPr>
          <w:p>
            <w:pPr>
              <w:jc w:val="center"/>
            </w:pPr>
            <w:r/>
            <w:r>
              <w:rPr>
                <w:rFonts w:ascii="Times New Roman" w:hAnsi="Times New Roman" w:eastAsia="SimSun"/>
                <w:b w:val="0"/>
                <w:sz w:val="18"/>
              </w:rPr>
              <w:t>1986-03</w:t>
            </w:r>
          </w:p>
        </w:tc>
        <w:tc>
          <w:tcPr>
            <w:tcW w:type="dxa" w:w="1344"/>
            <w:vAlign w:val="center"/>
          </w:tcPr>
          <w:p>
            <w:pPr>
              <w:jc w:val="center"/>
            </w:pPr>
            <w:r/>
            <w:r>
              <w:rPr>
                <w:rFonts w:ascii="Times New Roman" w:hAnsi="Times New Roman" w:eastAsia="SimSun"/>
                <w:b w:val="0"/>
                <w:sz w:val="18"/>
              </w:rPr>
              <w:t>1996-07</w:t>
            </w:r>
          </w:p>
        </w:tc>
        <w:tc>
          <w:tcPr>
            <w:tcW w:type="dxa" w:w="1344"/>
            <w:vAlign w:val="center"/>
          </w:tcPr>
          <w:p>
            <w:pPr>
              <w:jc w:val="center"/>
            </w:pPr>
            <w:r/>
            <w:r>
              <w:rPr>
                <w:rFonts w:ascii="Times New Roman" w:hAnsi="Times New Roman" w:eastAsia="SimSun"/>
                <w:b w:val="0"/>
                <w:sz w:val="18"/>
              </w:rPr>
              <w:t>True</w:t>
            </w:r>
          </w:p>
        </w:tc>
        <w:tc>
          <w:tcPr>
            <w:tcW w:type="dxa" w:w="1344"/>
            <w:vAlign w:val="center"/>
          </w:tcPr>
          <w:p>
            <w:pPr>
              <w:jc w:val="center"/>
            </w:pPr>
            <w:r/>
            <w:r>
              <w:rPr>
                <w:rFonts w:ascii="Times New Roman" w:hAnsi="Times New Roman" w:eastAsia="SimSun"/>
                <w:b w:val="0"/>
                <w:sz w:val="18"/>
              </w:rPr>
              <w:t>125</w:t>
            </w:r>
          </w:p>
        </w:tc>
        <w:tc>
          <w:tcPr>
            <w:tcW w:type="dxa" w:w="1344"/>
            <w:vAlign w:val="center"/>
          </w:tcPr>
          <w:p>
            <w:pPr>
              <w:jc w:val="center"/>
            </w:pPr>
            <w:r/>
            <w:r>
              <w:rPr>
                <w:rFonts w:ascii="Times New Roman" w:hAnsi="Times New Roman" w:eastAsia="SimSun"/>
                <w:b w:val="0"/>
                <w:sz w:val="18"/>
              </w:rPr>
              <w:t>1989-06</w:t>
            </w:r>
          </w:p>
        </w:tc>
        <w:tc>
          <w:tcPr>
            <w:tcW w:type="dxa" w:w="1344"/>
            <w:vAlign w:val="center"/>
          </w:tcPr>
          <w:p>
            <w:pPr>
              <w:jc w:val="center"/>
            </w:pPr>
            <w:r/>
            <w:r>
              <w:rPr>
                <w:rFonts w:ascii="Times New Roman" w:hAnsi="Times New Roman" w:eastAsia="SimSun"/>
                <w:b w:val="0"/>
                <w:sz w:val="18"/>
              </w:rPr>
              <w:t>212.77</w:t>
            </w:r>
          </w:p>
        </w:tc>
      </w:tr>
      <w:tr>
        <w:tc>
          <w:tcPr>
            <w:tcW w:type="dxa" w:w="1344"/>
            <w:vAlign w:val="center"/>
          </w:tcPr>
          <w:p>
            <w:pPr>
              <w:jc w:val="center"/>
            </w:pPr>
            <w:r/>
            <w:r>
              <w:rPr>
                <w:rFonts w:ascii="Times New Roman" w:hAnsi="Times New Roman" w:eastAsia="SimSun"/>
                <w:b w:val="0"/>
                <w:sz w:val="18"/>
              </w:rPr>
              <w:t>23</w:t>
            </w:r>
          </w:p>
        </w:tc>
        <w:tc>
          <w:tcPr>
            <w:tcW w:type="dxa" w:w="1344"/>
            <w:vAlign w:val="center"/>
          </w:tcPr>
          <w:p>
            <w:pPr>
              <w:jc w:val="center"/>
            </w:pPr>
            <w:r/>
            <w:r>
              <w:rPr>
                <w:rFonts w:ascii="Times New Roman" w:hAnsi="Times New Roman" w:eastAsia="SimSun"/>
                <w:b w:val="0"/>
                <w:sz w:val="18"/>
              </w:rPr>
              <w:t>1996-08</w:t>
            </w:r>
          </w:p>
        </w:tc>
        <w:tc>
          <w:tcPr>
            <w:tcW w:type="dxa" w:w="1344"/>
            <w:vAlign w:val="center"/>
          </w:tcPr>
          <w:p>
            <w:pPr>
              <w:jc w:val="center"/>
            </w:pPr>
            <w:r/>
            <w:r>
              <w:rPr>
                <w:rFonts w:ascii="Times New Roman" w:hAnsi="Times New Roman" w:eastAsia="SimSun"/>
                <w:b w:val="0"/>
                <w:sz w:val="18"/>
              </w:rPr>
              <w:t>2008-10</w:t>
            </w:r>
          </w:p>
        </w:tc>
        <w:tc>
          <w:tcPr>
            <w:tcW w:type="dxa" w:w="1344"/>
            <w:vAlign w:val="center"/>
          </w:tcPr>
          <w:p>
            <w:pPr>
              <w:jc w:val="center"/>
            </w:pPr>
            <w:r/>
            <w:r>
              <w:rPr>
                <w:rFonts w:ascii="Times New Roman" w:hAnsi="Times New Roman" w:eastAsia="SimSun"/>
                <w:b w:val="0"/>
                <w:sz w:val="18"/>
              </w:rPr>
              <w:t>True</w:t>
            </w:r>
          </w:p>
        </w:tc>
        <w:tc>
          <w:tcPr>
            <w:tcW w:type="dxa" w:w="1344"/>
            <w:vAlign w:val="center"/>
          </w:tcPr>
          <w:p>
            <w:pPr>
              <w:jc w:val="center"/>
            </w:pPr>
            <w:r/>
            <w:r>
              <w:rPr>
                <w:rFonts w:ascii="Times New Roman" w:hAnsi="Times New Roman" w:eastAsia="SimSun"/>
                <w:b w:val="0"/>
                <w:sz w:val="18"/>
              </w:rPr>
              <w:t>147</w:t>
            </w:r>
          </w:p>
        </w:tc>
        <w:tc>
          <w:tcPr>
            <w:tcW w:type="dxa" w:w="1344"/>
            <w:vAlign w:val="center"/>
          </w:tcPr>
          <w:p>
            <w:pPr>
              <w:jc w:val="center"/>
            </w:pPr>
            <w:r/>
            <w:r>
              <w:rPr>
                <w:rFonts w:ascii="Times New Roman" w:hAnsi="Times New Roman" w:eastAsia="SimSun"/>
                <w:b w:val="0"/>
                <w:sz w:val="18"/>
              </w:rPr>
              <w:t>2002-03</w:t>
            </w:r>
          </w:p>
        </w:tc>
        <w:tc>
          <w:tcPr>
            <w:tcW w:type="dxa" w:w="1344"/>
            <w:vAlign w:val="center"/>
          </w:tcPr>
          <w:p>
            <w:pPr>
              <w:jc w:val="center"/>
            </w:pPr>
            <w:r/>
            <w:r>
              <w:rPr>
                <w:rFonts w:ascii="Times New Roman" w:hAnsi="Times New Roman" w:eastAsia="SimSun"/>
                <w:b w:val="0"/>
                <w:sz w:val="18"/>
              </w:rPr>
              <w:t>180.92</w:t>
            </w:r>
          </w:p>
        </w:tc>
      </w:tr>
      <w:tr>
        <w:tc>
          <w:tcPr>
            <w:tcW w:type="dxa" w:w="1344"/>
            <w:vAlign w:val="center"/>
          </w:tcPr>
          <w:p>
            <w:pPr>
              <w:jc w:val="center"/>
            </w:pPr>
            <w:r/>
            <w:r>
              <w:rPr>
                <w:rFonts w:ascii="Times New Roman" w:hAnsi="Times New Roman" w:eastAsia="SimSun"/>
                <w:b w:val="0"/>
                <w:sz w:val="18"/>
              </w:rPr>
              <w:t>24</w:t>
            </w:r>
          </w:p>
        </w:tc>
        <w:tc>
          <w:tcPr>
            <w:tcW w:type="dxa" w:w="1344"/>
            <w:vAlign w:val="center"/>
          </w:tcPr>
          <w:p>
            <w:pPr>
              <w:jc w:val="center"/>
            </w:pPr>
            <w:r/>
            <w:r>
              <w:rPr>
                <w:rFonts w:ascii="Times New Roman" w:hAnsi="Times New Roman" w:eastAsia="SimSun"/>
                <w:b w:val="0"/>
                <w:sz w:val="18"/>
              </w:rPr>
              <w:t>2008-11</w:t>
            </w:r>
          </w:p>
        </w:tc>
        <w:tc>
          <w:tcPr>
            <w:tcW w:type="dxa" w:w="1344"/>
            <w:vAlign w:val="center"/>
          </w:tcPr>
          <w:p>
            <w:pPr>
              <w:jc w:val="center"/>
            </w:pPr>
            <w:r/>
            <w:r>
              <w:rPr>
                <w:rFonts w:ascii="Times New Roman" w:hAnsi="Times New Roman" w:eastAsia="SimSun"/>
                <w:b w:val="0"/>
                <w:sz w:val="18"/>
              </w:rPr>
              <w:t>2019-11</w:t>
            </w:r>
          </w:p>
        </w:tc>
        <w:tc>
          <w:tcPr>
            <w:tcW w:type="dxa" w:w="1344"/>
            <w:vAlign w:val="center"/>
          </w:tcPr>
          <w:p>
            <w:pPr>
              <w:jc w:val="center"/>
            </w:pPr>
            <w:r/>
            <w:r>
              <w:rPr>
                <w:rFonts w:ascii="Times New Roman" w:hAnsi="Times New Roman" w:eastAsia="SimSun"/>
                <w:b w:val="0"/>
                <w:sz w:val="18"/>
              </w:rPr>
              <w:t>True</w:t>
            </w:r>
          </w:p>
        </w:tc>
        <w:tc>
          <w:tcPr>
            <w:tcW w:type="dxa" w:w="1344"/>
            <w:vAlign w:val="center"/>
          </w:tcPr>
          <w:p>
            <w:pPr>
              <w:jc w:val="center"/>
            </w:pPr>
            <w:r/>
            <w:r>
              <w:rPr>
                <w:rFonts w:ascii="Times New Roman" w:hAnsi="Times New Roman" w:eastAsia="SimSun"/>
                <w:b w:val="0"/>
                <w:sz w:val="18"/>
              </w:rPr>
              <w:t>133</w:t>
            </w:r>
          </w:p>
        </w:tc>
        <w:tc>
          <w:tcPr>
            <w:tcW w:type="dxa" w:w="1344"/>
            <w:vAlign w:val="center"/>
          </w:tcPr>
          <w:p>
            <w:pPr>
              <w:jc w:val="center"/>
            </w:pPr>
            <w:r/>
            <w:r>
              <w:rPr>
                <w:rFonts w:ascii="Times New Roman" w:hAnsi="Times New Roman" w:eastAsia="SimSun"/>
                <w:b w:val="0"/>
                <w:sz w:val="18"/>
              </w:rPr>
              <w:t>2014-04</w:t>
            </w:r>
          </w:p>
        </w:tc>
        <w:tc>
          <w:tcPr>
            <w:tcW w:type="dxa" w:w="1344"/>
            <w:vAlign w:val="center"/>
          </w:tcPr>
          <w:p>
            <w:pPr>
              <w:jc w:val="center"/>
            </w:pPr>
            <w:r/>
            <w:r>
              <w:rPr>
                <w:rFonts w:ascii="Times New Roman" w:hAnsi="Times New Roman" w:eastAsia="SimSun"/>
                <w:b w:val="0"/>
                <w:sz w:val="18"/>
              </w:rPr>
              <w:t>115.33</w:t>
            </w:r>
          </w:p>
        </w:tc>
      </w:tr>
      <w:tr>
        <w:tc>
          <w:tcPr>
            <w:tcW w:type="dxa" w:w="1344"/>
            <w:vAlign w:val="center"/>
          </w:tcPr>
          <w:p>
            <w:pPr>
              <w:jc w:val="center"/>
            </w:pPr>
            <w:r/>
            <w:r>
              <w:rPr>
                <w:rFonts w:ascii="Times New Roman" w:hAnsi="Times New Roman" w:eastAsia="SimSun"/>
                <w:b w:val="0"/>
                <w:sz w:val="18"/>
              </w:rPr>
              <w:t>25</w:t>
            </w:r>
          </w:p>
        </w:tc>
        <w:tc>
          <w:tcPr>
            <w:tcW w:type="dxa" w:w="1344"/>
            <w:vAlign w:val="center"/>
          </w:tcPr>
          <w:p>
            <w:pPr>
              <w:jc w:val="center"/>
            </w:pPr>
            <w:r/>
            <w:r>
              <w:rPr>
                <w:rFonts w:ascii="Times New Roman" w:hAnsi="Times New Roman" w:eastAsia="SimSun"/>
                <w:b w:val="0"/>
                <w:sz w:val="18"/>
              </w:rPr>
              <w:t>2019-12</w:t>
            </w:r>
          </w:p>
        </w:tc>
        <w:tc>
          <w:tcPr>
            <w:tcW w:type="dxa" w:w="1344"/>
            <w:vAlign w:val="center"/>
          </w:tcPr>
          <w:p>
            <w:pPr>
              <w:jc w:val="center"/>
            </w:pPr>
            <w:r/>
            <w:r>
              <w:rPr>
                <w:rFonts w:ascii="Times New Roman" w:hAnsi="Times New Roman" w:eastAsia="SimSun"/>
                <w:b w:val="0"/>
                <w:sz w:val="18"/>
              </w:rPr>
              <w:t>partial</w:t>
            </w:r>
          </w:p>
        </w:tc>
        <w:tc>
          <w:tcPr>
            <w:tcW w:type="dxa" w:w="1344"/>
            <w:vAlign w:val="center"/>
          </w:tcPr>
          <w:p>
            <w:pPr>
              <w:jc w:val="center"/>
            </w:pPr>
            <w:r/>
            <w:r>
              <w:rPr>
                <w:rFonts w:ascii="Times New Roman" w:hAnsi="Times New Roman" w:eastAsia="SimSun"/>
                <w:b w:val="0"/>
                <w:sz w:val="18"/>
              </w:rPr>
              <w:t>False</w:t>
            </w:r>
          </w:p>
        </w:tc>
        <w:tc>
          <w:tcPr>
            <w:tcW w:type="dxa" w:w="1344"/>
            <w:vAlign w:val="center"/>
          </w:tcPr>
          <w:p>
            <w:pPr>
              <w:jc w:val="center"/>
            </w:pPr>
            <w:r/>
            <w:r>
              <w:rPr>
                <w:rFonts w:ascii="Times New Roman" w:hAnsi="Times New Roman" w:eastAsia="SimSun"/>
                <w:b w:val="0"/>
                <w:sz w:val="18"/>
              </w:rPr>
              <w:t>71</w:t>
            </w:r>
          </w:p>
        </w:tc>
        <w:tc>
          <w:tcPr>
            <w:tcW w:type="dxa" w:w="1344"/>
            <w:vAlign w:val="center"/>
          </w:tcPr>
          <w:p>
            <w:pPr>
              <w:jc w:val="center"/>
            </w:pPr>
            <w:r/>
            <w:r>
              <w:rPr>
                <w:rFonts w:ascii="Times New Roman" w:hAnsi="Times New Roman" w:eastAsia="SimSun"/>
                <w:b w:val="0"/>
                <w:sz w:val="18"/>
              </w:rPr>
              <w:t>2024-10</w:t>
            </w:r>
          </w:p>
        </w:tc>
        <w:tc>
          <w:tcPr>
            <w:tcW w:type="dxa" w:w="1344"/>
            <w:vAlign w:val="center"/>
          </w:tcPr>
          <w:p>
            <w:pPr>
              <w:jc w:val="center"/>
            </w:pPr>
            <w:r/>
            <w:r>
              <w:rPr>
                <w:rFonts w:ascii="Times New Roman" w:hAnsi="Times New Roman" w:eastAsia="SimSun"/>
                <w:b w:val="0"/>
                <w:sz w:val="18"/>
              </w:rPr>
              <w:t>159.22</w:t>
            </w:r>
          </w:p>
        </w:tc>
      </w:tr>
    </w:tbl>
    <w:p>
      <w:pPr>
        <w:jc w:val="center"/>
      </w:pPr>
      <w:r>
        <w:rPr>
          <w:rFonts w:ascii="Times New Roman" w:hAnsi="Times New Roman" w:eastAsia="SimSun"/>
          <w:i/>
          <w:sz w:val="18"/>
        </w:rPr>
        <w:t>表1  活动周结构化识别结果示例</w:t>
      </w:r>
    </w:p>
    <w:p>
      <w:pPr>
        <w:pStyle w:val="Heading1"/>
      </w:pPr>
      <w:r>
        <w:t>三、验证设计：Cycle 24 与 Cycle 25 双留出</w:t>
      </w:r>
    </w:p>
    <w:p>
      <w:pPr>
        <w:jc w:val="both"/>
      </w:pPr>
      <w:r>
        <w:rPr>
          <w:rFonts w:ascii="Times New Roman" w:hAnsi="Times New Roman" w:eastAsia="SimSun"/>
          <w:sz w:val="21"/>
        </w:rPr>
        <w:t>为了判断方法是否真正具有外推能力，本流程设置了 Cycle 24 和 Cycle 25 两个留出验证对象。Cycle 24 用于检验模型在弱活动周上的表现，Cycle 25 用于检验模型在偏强活动周上的表现。双留出验证比只看 Cycle 25 更可靠，因为它可以暴露模型对弱周期、强周期和峰值增强事件的适应能力差异。</w:t>
      </w:r>
    </w:p>
    <w:p>
      <w:pPr>
        <w:jc w:val="both"/>
      </w:pPr>
      <w:r>
        <w:rPr>
          <w:rFonts w:ascii="Times New Roman" w:hAnsi="Times New Roman" w:eastAsia="SimSun"/>
          <w:sz w:val="21"/>
        </w:rPr>
        <w:t>验证时分别模拟不同信息可用程度：完全不知道目标周期，仅用前一周期进行先验预测；已看到目标周期前 36、48、60 个月观测，用早期形态更新预测；再利用 Waldmeier 效应校正峰值幅度与峰值时间；最后用参数化周期曲线约束整条活动周趋势。</w:t>
      </w:r>
    </w:p>
    <w:p>
      <w:pPr>
        <w:pStyle w:val="Heading1"/>
      </w:pPr>
      <w:r>
        <w:t>四、四类方法实现</w:t>
      </w:r>
    </w:p>
    <w:tbl>
      <w:tblPr>
        <w:tblW w:type="auto" w:w="0"/>
        <w:jc w:val="center"/>
        <w:tblLook w:firstColumn="1" w:firstRow="1" w:lastColumn="0" w:lastRow="0" w:noHBand="0" w:noVBand="1" w:val="04A0"/>
        <w:tblBorders>
          <w:top w:val="single" w:sz="12" w:color="000000"/>
          <w:left w:val="nil"/>
          <w:bottom w:val="single" w:sz="12" w:color="000000"/>
          <w:right w:val="nil"/>
          <w:insideH w:val="single" w:sz="4" w:color="BFBFBF"/>
          <w:insideV w:val="nil"/>
        </w:tblBorders>
      </w:tblPr>
      <w:tblGrid>
        <w:gridCol w:w="2351"/>
        <w:gridCol w:w="2351"/>
        <w:gridCol w:w="2351"/>
        <w:gridCol w:w="2351"/>
      </w:tblGrid>
      <w:tr>
        <w:tc>
          <w:tcPr>
            <w:tcW w:type="dxa" w:w="2351"/>
            <w:vAlign w:val="center"/>
            <w:tcBorders>
              <w:bottom w:val="single" w:sz="8" w:color="000000"/>
            </w:tcBorders>
          </w:tcPr>
          <w:p>
            <w:pPr>
              <w:jc w:val="center"/>
            </w:pPr>
            <w:r/>
            <w:r>
              <w:rPr>
                <w:rFonts w:ascii="Times New Roman" w:hAnsi="Times New Roman" w:eastAsia="SimSun"/>
                <w:b/>
                <w:sz w:val="19"/>
              </w:rPr>
              <w:t>编号</w:t>
            </w:r>
          </w:p>
        </w:tc>
        <w:tc>
          <w:tcPr>
            <w:tcW w:type="dxa" w:w="2351"/>
            <w:vAlign w:val="center"/>
            <w:tcBorders>
              <w:bottom w:val="single" w:sz="8" w:color="000000"/>
            </w:tcBorders>
          </w:tcPr>
          <w:p>
            <w:pPr>
              <w:jc w:val="center"/>
            </w:pPr>
            <w:r/>
            <w:r>
              <w:rPr>
                <w:rFonts w:ascii="Times New Roman" w:hAnsi="Times New Roman" w:eastAsia="SimSun"/>
                <w:b/>
                <w:sz w:val="19"/>
              </w:rPr>
              <w:t>方法</w:t>
            </w:r>
          </w:p>
        </w:tc>
        <w:tc>
          <w:tcPr>
            <w:tcW w:type="dxa" w:w="2351"/>
            <w:vAlign w:val="center"/>
            <w:tcBorders>
              <w:bottom w:val="single" w:sz="8" w:color="000000"/>
            </w:tcBorders>
          </w:tcPr>
          <w:p>
            <w:pPr>
              <w:jc w:val="center"/>
            </w:pPr>
            <w:r/>
            <w:r>
              <w:rPr>
                <w:rFonts w:ascii="Times New Roman" w:hAnsi="Times New Roman" w:eastAsia="SimSun"/>
                <w:b/>
                <w:sz w:val="19"/>
              </w:rPr>
              <w:t>实现思想</w:t>
            </w:r>
          </w:p>
        </w:tc>
        <w:tc>
          <w:tcPr>
            <w:tcW w:type="dxa" w:w="2351"/>
            <w:vAlign w:val="center"/>
            <w:tcBorders>
              <w:bottom w:val="single" w:sz="8" w:color="000000"/>
            </w:tcBorders>
          </w:tcPr>
          <w:p>
            <w:pPr>
              <w:jc w:val="center"/>
            </w:pPr>
            <w:r/>
            <w:r>
              <w:rPr>
                <w:rFonts w:ascii="Times New Roman" w:hAnsi="Times New Roman" w:eastAsia="SimSun"/>
                <w:b/>
                <w:sz w:val="19"/>
              </w:rPr>
              <w:t>作用</w:t>
            </w:r>
          </w:p>
        </w:tc>
      </w:tr>
      <w:tr>
        <w:tc>
          <w:tcPr>
            <w:tcW w:type="dxa" w:w="2351"/>
            <w:vAlign w:val="center"/>
          </w:tcPr>
          <w:p>
            <w:pPr>
              <w:jc w:val="center"/>
            </w:pPr>
            <w:r/>
            <w:r>
              <w:rPr>
                <w:rFonts w:ascii="Times New Roman" w:hAnsi="Times New Roman" w:eastAsia="SimSun"/>
                <w:b w:val="0"/>
                <w:sz w:val="18"/>
              </w:rPr>
              <w:t>M1</w:t>
            </w:r>
          </w:p>
        </w:tc>
        <w:tc>
          <w:tcPr>
            <w:tcW w:type="dxa" w:w="2351"/>
            <w:vAlign w:val="center"/>
          </w:tcPr>
          <w:p>
            <w:pPr>
              <w:jc w:val="center"/>
            </w:pPr>
            <w:r/>
            <w:r>
              <w:rPr>
                <w:rFonts w:ascii="Times New Roman" w:hAnsi="Times New Roman" w:eastAsia="SimSun"/>
                <w:b w:val="0"/>
                <w:sz w:val="18"/>
              </w:rPr>
              <w:t>prior successor analog</w:t>
            </w:r>
          </w:p>
        </w:tc>
        <w:tc>
          <w:tcPr>
            <w:tcW w:type="dxa" w:w="2351"/>
            <w:vAlign w:val="center"/>
          </w:tcPr>
          <w:p>
            <w:pPr>
              <w:jc w:val="center"/>
            </w:pPr>
            <w:r/>
            <w:r>
              <w:rPr>
                <w:rFonts w:ascii="Times New Roman" w:hAnsi="Times New Roman" w:eastAsia="SimSun"/>
                <w:b w:val="0"/>
                <w:sz w:val="18"/>
              </w:rPr>
              <w:t>用上一活动周匹配历史相似周期，再取其后继周期作为目标周期预测</w:t>
            </w:r>
          </w:p>
        </w:tc>
        <w:tc>
          <w:tcPr>
            <w:tcW w:type="dxa" w:w="2351"/>
            <w:vAlign w:val="center"/>
          </w:tcPr>
          <w:p>
            <w:pPr>
              <w:jc w:val="center"/>
            </w:pPr>
            <w:r/>
            <w:r>
              <w:rPr>
                <w:rFonts w:ascii="Times New Roman" w:hAnsi="Times New Roman" w:eastAsia="SimSun"/>
                <w:b w:val="0"/>
                <w:sz w:val="18"/>
              </w:rPr>
              <w:t>严格下一周预测基线，检验“上一周能否预测下一周”</w:t>
            </w:r>
          </w:p>
        </w:tc>
      </w:tr>
      <w:tr>
        <w:tc>
          <w:tcPr>
            <w:tcW w:type="dxa" w:w="2351"/>
            <w:vAlign w:val="center"/>
          </w:tcPr>
          <w:p>
            <w:pPr>
              <w:jc w:val="center"/>
            </w:pPr>
            <w:r/>
            <w:r>
              <w:rPr>
                <w:rFonts w:ascii="Times New Roman" w:hAnsi="Times New Roman" w:eastAsia="SimSun"/>
                <w:b w:val="0"/>
                <w:sz w:val="18"/>
              </w:rPr>
              <w:t>M2</w:t>
            </w:r>
          </w:p>
        </w:tc>
        <w:tc>
          <w:tcPr>
            <w:tcW w:type="dxa" w:w="2351"/>
            <w:vAlign w:val="center"/>
          </w:tcPr>
          <w:p>
            <w:pPr>
              <w:jc w:val="center"/>
            </w:pPr>
            <w:r/>
            <w:r>
              <w:rPr>
                <w:rFonts w:ascii="Times New Roman" w:hAnsi="Times New Roman" w:eastAsia="SimSun"/>
                <w:b w:val="0"/>
                <w:sz w:val="18"/>
              </w:rPr>
              <w:t>early shape analog</w:t>
            </w:r>
          </w:p>
        </w:tc>
        <w:tc>
          <w:tcPr>
            <w:tcW w:type="dxa" w:w="2351"/>
            <w:vAlign w:val="center"/>
          </w:tcPr>
          <w:p>
            <w:pPr>
              <w:jc w:val="center"/>
            </w:pPr>
            <w:r/>
            <w:r>
              <w:rPr>
                <w:rFonts w:ascii="Times New Roman" w:hAnsi="Times New Roman" w:eastAsia="SimSun"/>
                <w:b w:val="0"/>
                <w:sz w:val="18"/>
              </w:rPr>
              <w:t>用目标周期早期 36/48/60 个月形态匹配历史周期，并外推剩余段</w:t>
            </w:r>
          </w:p>
        </w:tc>
        <w:tc>
          <w:tcPr>
            <w:tcW w:type="dxa" w:w="2351"/>
            <w:vAlign w:val="center"/>
          </w:tcPr>
          <w:p>
            <w:pPr>
              <w:jc w:val="center"/>
            </w:pPr>
            <w:r/>
            <w:r>
              <w:rPr>
                <w:rFonts w:ascii="Times New Roman" w:hAnsi="Times New Roman" w:eastAsia="SimSun"/>
                <w:b w:val="0"/>
                <w:sz w:val="18"/>
              </w:rPr>
              <w:t>利用已观测上升段更新剩余趋势</w:t>
            </w:r>
          </w:p>
        </w:tc>
      </w:tr>
      <w:tr>
        <w:tc>
          <w:tcPr>
            <w:tcW w:type="dxa" w:w="2351"/>
            <w:vAlign w:val="center"/>
          </w:tcPr>
          <w:p>
            <w:pPr>
              <w:jc w:val="center"/>
            </w:pPr>
            <w:r/>
            <w:r>
              <w:rPr>
                <w:rFonts w:ascii="Times New Roman" w:hAnsi="Times New Roman" w:eastAsia="SimSun"/>
                <w:b w:val="0"/>
                <w:sz w:val="18"/>
              </w:rPr>
              <w:t>M3</w:t>
            </w:r>
          </w:p>
        </w:tc>
        <w:tc>
          <w:tcPr>
            <w:tcW w:type="dxa" w:w="2351"/>
            <w:vAlign w:val="center"/>
          </w:tcPr>
          <w:p>
            <w:pPr>
              <w:jc w:val="center"/>
            </w:pPr>
            <w:r/>
            <w:r>
              <w:rPr>
                <w:rFonts w:ascii="Times New Roman" w:hAnsi="Times New Roman" w:eastAsia="SimSun"/>
                <w:b w:val="0"/>
                <w:sz w:val="18"/>
              </w:rPr>
              <w:t>calibrated early shape</w:t>
            </w:r>
          </w:p>
        </w:tc>
        <w:tc>
          <w:tcPr>
            <w:tcW w:type="dxa" w:w="2351"/>
            <w:vAlign w:val="center"/>
          </w:tcPr>
          <w:p>
            <w:pPr>
              <w:jc w:val="center"/>
            </w:pPr>
            <w:r/>
            <w:r>
              <w:rPr>
                <w:rFonts w:ascii="Times New Roman" w:hAnsi="Times New Roman" w:eastAsia="SimSun"/>
                <w:b w:val="0"/>
                <w:sz w:val="18"/>
              </w:rPr>
              <w:t>在 M2 基础上根据早期上升率进行 Waldmeier 峰值幅度校正</w:t>
            </w:r>
          </w:p>
        </w:tc>
        <w:tc>
          <w:tcPr>
            <w:tcW w:type="dxa" w:w="2351"/>
            <w:vAlign w:val="center"/>
          </w:tcPr>
          <w:p>
            <w:pPr>
              <w:jc w:val="center"/>
            </w:pPr>
            <w:r/>
            <w:r>
              <w:rPr>
                <w:rFonts w:ascii="Times New Roman" w:hAnsi="Times New Roman" w:eastAsia="SimSun"/>
                <w:b w:val="0"/>
                <w:sz w:val="18"/>
              </w:rPr>
              <w:t>缓解强周期峰值低估或弱周期峰值高估</w:t>
            </w:r>
          </w:p>
        </w:tc>
      </w:tr>
      <w:tr>
        <w:tc>
          <w:tcPr>
            <w:tcW w:type="dxa" w:w="2351"/>
            <w:vAlign w:val="center"/>
          </w:tcPr>
          <w:p>
            <w:pPr>
              <w:jc w:val="center"/>
            </w:pPr>
            <w:r/>
            <w:r>
              <w:rPr>
                <w:rFonts w:ascii="Times New Roman" w:hAnsi="Times New Roman" w:eastAsia="SimSun"/>
                <w:b w:val="0"/>
                <w:sz w:val="18"/>
              </w:rPr>
              <w:t>M4</w:t>
            </w:r>
          </w:p>
        </w:tc>
        <w:tc>
          <w:tcPr>
            <w:tcW w:type="dxa" w:w="2351"/>
            <w:vAlign w:val="center"/>
          </w:tcPr>
          <w:p>
            <w:pPr>
              <w:jc w:val="center"/>
            </w:pPr>
            <w:r/>
            <w:r>
              <w:rPr>
                <w:rFonts w:ascii="Times New Roman" w:hAnsi="Times New Roman" w:eastAsia="SimSun"/>
                <w:b w:val="0"/>
                <w:sz w:val="18"/>
              </w:rPr>
              <w:t>parametric Waldmeier curve</w:t>
            </w:r>
          </w:p>
        </w:tc>
        <w:tc>
          <w:tcPr>
            <w:tcW w:type="dxa" w:w="2351"/>
            <w:vAlign w:val="center"/>
          </w:tcPr>
          <w:p>
            <w:pPr>
              <w:jc w:val="center"/>
            </w:pPr>
            <w:r/>
            <w:r>
              <w:rPr>
                <w:rFonts w:ascii="Times New Roman" w:hAnsi="Times New Roman" w:eastAsia="SimSun"/>
                <w:b w:val="0"/>
                <w:sz w:val="18"/>
              </w:rPr>
              <w:t>使用偏斜周期曲线拟合当前周期，并由 Waldmeier 关系约束峰值与长度</w:t>
            </w:r>
          </w:p>
        </w:tc>
        <w:tc>
          <w:tcPr>
            <w:tcW w:type="dxa" w:w="2351"/>
            <w:vAlign w:val="center"/>
          </w:tcPr>
          <w:p>
            <w:pPr>
              <w:jc w:val="center"/>
            </w:pPr>
            <w:r/>
            <w:r>
              <w:rPr>
                <w:rFonts w:ascii="Times New Roman" w:hAnsi="Times New Roman" w:eastAsia="SimSun"/>
                <w:b w:val="0"/>
                <w:sz w:val="18"/>
              </w:rPr>
              <w:t>稳定整体趋势和下降段，适合长期外推</w:t>
            </w:r>
          </w:p>
        </w:tc>
      </w:tr>
    </w:tbl>
    <w:p>
      <w:pPr>
        <w:jc w:val="center"/>
      </w:pPr>
      <w:r>
        <w:rPr>
          <w:rFonts w:ascii="Times New Roman" w:hAnsi="Times New Roman" w:eastAsia="SimSun"/>
          <w:i/>
          <w:sz w:val="18"/>
        </w:rPr>
        <w:t>表2  四类预测方法设计</w:t>
      </w:r>
    </w:p>
    <w:p>
      <w:pPr>
        <w:jc w:val="both"/>
      </w:pPr>
      <w:r>
        <w:rPr>
          <w:rFonts w:ascii="Times New Roman" w:hAnsi="Times New Roman" w:eastAsia="SimSun"/>
          <w:sz w:val="21"/>
        </w:rPr>
        <w:t>M4 是当前版本的推荐主模型。其核心思想是：太阳活动周并非任意曲线，而具有非对称形态，即上升较快、下降较慢。参数化曲线通过有限参数描述周期长度、峰值月份、峰值幅度和下降段衰减，从而避免相似模板在长期外推时出现不合理震荡。</w:t>
      </w:r>
    </w:p>
    <w:p>
      <w:pPr>
        <w:pStyle w:val="Heading1"/>
      </w:pPr>
      <w:r>
        <w:t>五、评价指标体系</w:t>
      </w:r>
    </w:p>
    <w:p>
      <w:pPr>
        <w:jc w:val="both"/>
      </w:pPr>
      <w:r>
        <w:rPr>
          <w:rFonts w:ascii="Times New Roman" w:hAnsi="Times New Roman" w:eastAsia="SimSun"/>
          <w:sz w:val="21"/>
        </w:rPr>
        <w:t>评价指标分为三类。第一类是整体误差，包括 MAE、RMSE、R、R²、Bias 和 MAPE；第二类是峰值误差，包括峰值时间误差、峰值幅度误差和峰值绝对误差；第三类是阶段误差，用于分析上升段、峰值段、下降段和谷值段的误差来源。</w:t>
      </w:r>
    </w:p>
    <w:tbl>
      <w:tblPr>
        <w:tblW w:type="auto" w:w="0"/>
        <w:jc w:val="center"/>
        <w:tblLook w:firstColumn="1" w:firstRow="1" w:lastColumn="0" w:lastRow="0" w:noHBand="0" w:noVBand="1" w:val="04A0"/>
        <w:tblBorders>
          <w:top w:val="single" w:sz="12" w:color="000000"/>
          <w:left w:val="nil"/>
          <w:bottom w:val="single" w:sz="12" w:color="000000"/>
          <w:right w:val="nil"/>
          <w:insideH w:val="single" w:sz="4" w:color="BFBFBF"/>
          <w:insideV w:val="nil"/>
        </w:tblBorders>
      </w:tblPr>
      <w:tblGrid>
        <w:gridCol w:w="3135"/>
        <w:gridCol w:w="3135"/>
        <w:gridCol w:w="3135"/>
      </w:tblGrid>
      <w:tr>
        <w:tc>
          <w:tcPr>
            <w:tcW w:type="dxa" w:w="3135"/>
            <w:vAlign w:val="center"/>
            <w:tcBorders>
              <w:bottom w:val="single" w:sz="8" w:color="000000"/>
            </w:tcBorders>
          </w:tcPr>
          <w:p>
            <w:pPr>
              <w:jc w:val="center"/>
            </w:pPr>
            <w:r/>
            <w:r>
              <w:rPr>
                <w:rFonts w:ascii="Times New Roman" w:hAnsi="Times New Roman" w:eastAsia="SimSun"/>
                <w:b/>
                <w:sz w:val="19"/>
              </w:rPr>
              <w:t>指标</w:t>
            </w:r>
          </w:p>
        </w:tc>
        <w:tc>
          <w:tcPr>
            <w:tcW w:type="dxa" w:w="3135"/>
            <w:vAlign w:val="center"/>
            <w:tcBorders>
              <w:bottom w:val="single" w:sz="8" w:color="000000"/>
            </w:tcBorders>
          </w:tcPr>
          <w:p>
            <w:pPr>
              <w:jc w:val="center"/>
            </w:pPr>
            <w:r/>
            <w:r>
              <w:rPr>
                <w:rFonts w:ascii="Times New Roman" w:hAnsi="Times New Roman" w:eastAsia="SimSun"/>
                <w:b/>
                <w:sz w:val="19"/>
              </w:rPr>
              <w:t>定义</w:t>
            </w:r>
          </w:p>
        </w:tc>
        <w:tc>
          <w:tcPr>
            <w:tcW w:type="dxa" w:w="3135"/>
            <w:vAlign w:val="center"/>
            <w:tcBorders>
              <w:bottom w:val="single" w:sz="8" w:color="000000"/>
            </w:tcBorders>
          </w:tcPr>
          <w:p>
            <w:pPr>
              <w:jc w:val="center"/>
            </w:pPr>
            <w:r/>
            <w:r>
              <w:rPr>
                <w:rFonts w:ascii="Times New Roman" w:hAnsi="Times New Roman" w:eastAsia="SimSun"/>
                <w:b/>
                <w:sz w:val="19"/>
              </w:rPr>
              <w:t>用途</w:t>
            </w:r>
          </w:p>
        </w:tc>
      </w:tr>
      <w:tr>
        <w:tc>
          <w:tcPr>
            <w:tcW w:type="dxa" w:w="3135"/>
            <w:vAlign w:val="center"/>
          </w:tcPr>
          <w:p>
            <w:pPr>
              <w:jc w:val="center"/>
            </w:pPr>
            <w:r/>
            <w:r>
              <w:rPr>
                <w:rFonts w:ascii="Times New Roman" w:hAnsi="Times New Roman" w:eastAsia="SimSun"/>
                <w:b w:val="0"/>
                <w:sz w:val="18"/>
              </w:rPr>
              <w:t>MAE/RMSE</w:t>
            </w:r>
          </w:p>
        </w:tc>
        <w:tc>
          <w:tcPr>
            <w:tcW w:type="dxa" w:w="3135"/>
            <w:vAlign w:val="center"/>
          </w:tcPr>
          <w:p>
            <w:pPr>
              <w:jc w:val="center"/>
            </w:pPr>
            <w:r/>
            <w:r>
              <w:rPr>
                <w:rFonts w:ascii="Times New Roman" w:hAnsi="Times New Roman" w:eastAsia="SimSun"/>
                <w:b w:val="0"/>
                <w:sz w:val="18"/>
              </w:rPr>
              <w:t>衡量整体数值误差</w:t>
            </w:r>
          </w:p>
        </w:tc>
        <w:tc>
          <w:tcPr>
            <w:tcW w:type="dxa" w:w="3135"/>
            <w:vAlign w:val="center"/>
          </w:tcPr>
          <w:p>
            <w:pPr>
              <w:jc w:val="center"/>
            </w:pPr>
            <w:r/>
            <w:r>
              <w:rPr>
                <w:rFonts w:ascii="Times New Roman" w:hAnsi="Times New Roman" w:eastAsia="SimSun"/>
                <w:b w:val="0"/>
                <w:sz w:val="18"/>
              </w:rPr>
              <w:t>判断曲线总体拟合程度</w:t>
            </w:r>
          </w:p>
        </w:tc>
      </w:tr>
      <w:tr>
        <w:tc>
          <w:tcPr>
            <w:tcW w:type="dxa" w:w="3135"/>
            <w:vAlign w:val="center"/>
          </w:tcPr>
          <w:p>
            <w:pPr>
              <w:jc w:val="center"/>
            </w:pPr>
            <w:r/>
            <w:r>
              <w:rPr>
                <w:rFonts w:ascii="Times New Roman" w:hAnsi="Times New Roman" w:eastAsia="SimSun"/>
                <w:b w:val="0"/>
                <w:sz w:val="18"/>
              </w:rPr>
              <w:t>R/R²</w:t>
            </w:r>
          </w:p>
        </w:tc>
        <w:tc>
          <w:tcPr>
            <w:tcW w:type="dxa" w:w="3135"/>
            <w:vAlign w:val="center"/>
          </w:tcPr>
          <w:p>
            <w:pPr>
              <w:jc w:val="center"/>
            </w:pPr>
            <w:r/>
            <w:r>
              <w:rPr>
                <w:rFonts w:ascii="Times New Roman" w:hAnsi="Times New Roman" w:eastAsia="SimSun"/>
                <w:b w:val="0"/>
                <w:sz w:val="18"/>
              </w:rPr>
              <w:t>衡量趋势一致性</w:t>
            </w:r>
          </w:p>
        </w:tc>
        <w:tc>
          <w:tcPr>
            <w:tcW w:type="dxa" w:w="3135"/>
            <w:vAlign w:val="center"/>
          </w:tcPr>
          <w:p>
            <w:pPr>
              <w:jc w:val="center"/>
            </w:pPr>
            <w:r/>
            <w:r>
              <w:rPr>
                <w:rFonts w:ascii="Times New Roman" w:hAnsi="Times New Roman" w:eastAsia="SimSun"/>
                <w:b w:val="0"/>
                <w:sz w:val="18"/>
              </w:rPr>
              <w:t>避免只看幅度误差忽略趋势</w:t>
            </w:r>
          </w:p>
        </w:tc>
      </w:tr>
      <w:tr>
        <w:tc>
          <w:tcPr>
            <w:tcW w:type="dxa" w:w="3135"/>
            <w:vAlign w:val="center"/>
          </w:tcPr>
          <w:p>
            <w:pPr>
              <w:jc w:val="center"/>
            </w:pPr>
            <w:r/>
            <w:r>
              <w:rPr>
                <w:rFonts w:ascii="Times New Roman" w:hAnsi="Times New Roman" w:eastAsia="SimSun"/>
                <w:b w:val="0"/>
                <w:sz w:val="18"/>
              </w:rPr>
              <w:t>Bias</w:t>
            </w:r>
          </w:p>
        </w:tc>
        <w:tc>
          <w:tcPr>
            <w:tcW w:type="dxa" w:w="3135"/>
            <w:vAlign w:val="center"/>
          </w:tcPr>
          <w:p>
            <w:pPr>
              <w:jc w:val="center"/>
            </w:pPr>
            <w:r/>
            <w:r>
              <w:rPr>
                <w:rFonts w:ascii="Times New Roman" w:hAnsi="Times New Roman" w:eastAsia="SimSun"/>
                <w:b w:val="0"/>
                <w:sz w:val="18"/>
              </w:rPr>
              <w:t>衡量系统性高估或低估</w:t>
            </w:r>
          </w:p>
        </w:tc>
        <w:tc>
          <w:tcPr>
            <w:tcW w:type="dxa" w:w="3135"/>
            <w:vAlign w:val="center"/>
          </w:tcPr>
          <w:p>
            <w:pPr>
              <w:jc w:val="center"/>
            </w:pPr>
            <w:r/>
            <w:r>
              <w:rPr>
                <w:rFonts w:ascii="Times New Roman" w:hAnsi="Times New Roman" w:eastAsia="SimSun"/>
                <w:b w:val="0"/>
                <w:sz w:val="18"/>
              </w:rPr>
              <w:t>判断方法是否偏保守或偏激进</w:t>
            </w:r>
          </w:p>
        </w:tc>
      </w:tr>
      <w:tr>
        <w:tc>
          <w:tcPr>
            <w:tcW w:type="dxa" w:w="3135"/>
            <w:vAlign w:val="center"/>
          </w:tcPr>
          <w:p>
            <w:pPr>
              <w:jc w:val="center"/>
            </w:pPr>
            <w:r/>
            <w:r>
              <w:rPr>
                <w:rFonts w:ascii="Times New Roman" w:hAnsi="Times New Roman" w:eastAsia="SimSun"/>
                <w:b w:val="0"/>
                <w:sz w:val="18"/>
              </w:rPr>
              <w:t>峰值时间误差</w:t>
            </w:r>
          </w:p>
        </w:tc>
        <w:tc>
          <w:tcPr>
            <w:tcW w:type="dxa" w:w="3135"/>
            <w:vAlign w:val="center"/>
          </w:tcPr>
          <w:p>
            <w:pPr>
              <w:jc w:val="center"/>
            </w:pPr>
            <w:r/>
            <w:r>
              <w:rPr>
                <w:rFonts w:ascii="Times New Roman" w:hAnsi="Times New Roman" w:eastAsia="SimSun"/>
                <w:b w:val="0"/>
                <w:sz w:val="18"/>
              </w:rPr>
              <w:t>预测峰值月份与真实峰值月份之差</w:t>
            </w:r>
          </w:p>
        </w:tc>
        <w:tc>
          <w:tcPr>
            <w:tcW w:type="dxa" w:w="3135"/>
            <w:vAlign w:val="center"/>
          </w:tcPr>
          <w:p>
            <w:pPr>
              <w:jc w:val="center"/>
            </w:pPr>
            <w:r/>
            <w:r>
              <w:rPr>
                <w:rFonts w:ascii="Times New Roman" w:hAnsi="Times New Roman" w:eastAsia="SimSun"/>
                <w:b w:val="0"/>
                <w:sz w:val="18"/>
              </w:rPr>
              <w:t>活动周预报最关键指标之一</w:t>
            </w:r>
          </w:p>
        </w:tc>
      </w:tr>
      <w:tr>
        <w:tc>
          <w:tcPr>
            <w:tcW w:type="dxa" w:w="3135"/>
            <w:vAlign w:val="center"/>
          </w:tcPr>
          <w:p>
            <w:pPr>
              <w:jc w:val="center"/>
            </w:pPr>
            <w:r/>
            <w:r>
              <w:rPr>
                <w:rFonts w:ascii="Times New Roman" w:hAnsi="Times New Roman" w:eastAsia="SimSun"/>
                <w:b w:val="0"/>
                <w:sz w:val="18"/>
              </w:rPr>
              <w:t>峰值幅度误差</w:t>
            </w:r>
          </w:p>
        </w:tc>
        <w:tc>
          <w:tcPr>
            <w:tcW w:type="dxa" w:w="3135"/>
            <w:vAlign w:val="center"/>
          </w:tcPr>
          <w:p>
            <w:pPr>
              <w:jc w:val="center"/>
            </w:pPr>
            <w:r/>
            <w:r>
              <w:rPr>
                <w:rFonts w:ascii="Times New Roman" w:hAnsi="Times New Roman" w:eastAsia="SimSun"/>
                <w:b w:val="0"/>
                <w:sz w:val="18"/>
              </w:rPr>
              <w:t>预测峰值 SSN 与真实峰值 SSN 之差</w:t>
            </w:r>
          </w:p>
        </w:tc>
        <w:tc>
          <w:tcPr>
            <w:tcW w:type="dxa" w:w="3135"/>
            <w:vAlign w:val="center"/>
          </w:tcPr>
          <w:p>
            <w:pPr>
              <w:jc w:val="center"/>
            </w:pPr>
            <w:r/>
            <w:r>
              <w:rPr>
                <w:rFonts w:ascii="Times New Roman" w:hAnsi="Times New Roman" w:eastAsia="SimSun"/>
                <w:b w:val="0"/>
                <w:sz w:val="18"/>
              </w:rPr>
              <w:t>判断是否低估/高估极大期强度</w:t>
            </w:r>
          </w:p>
        </w:tc>
      </w:tr>
      <w:tr>
        <w:tc>
          <w:tcPr>
            <w:tcW w:type="dxa" w:w="3135"/>
            <w:vAlign w:val="center"/>
          </w:tcPr>
          <w:p>
            <w:pPr>
              <w:jc w:val="center"/>
            </w:pPr>
            <w:r/>
            <w:r>
              <w:rPr>
                <w:rFonts w:ascii="Times New Roman" w:hAnsi="Times New Roman" w:eastAsia="SimSun"/>
                <w:b w:val="0"/>
                <w:sz w:val="18"/>
              </w:rPr>
              <w:t>情景范围</w:t>
            </w:r>
          </w:p>
        </w:tc>
        <w:tc>
          <w:tcPr>
            <w:tcW w:type="dxa" w:w="3135"/>
            <w:vAlign w:val="center"/>
          </w:tcPr>
          <w:p>
            <w:pPr>
              <w:jc w:val="center"/>
            </w:pPr>
            <w:r/>
            <w:r>
              <w:rPr>
                <w:rFonts w:ascii="Times New Roman" w:hAnsi="Times New Roman" w:eastAsia="SimSun"/>
                <w:b w:val="0"/>
                <w:sz w:val="18"/>
              </w:rPr>
              <w:t>弱/中/强三情景峰值及时间</w:t>
            </w:r>
          </w:p>
        </w:tc>
        <w:tc>
          <w:tcPr>
            <w:tcW w:type="dxa" w:w="3135"/>
            <w:vAlign w:val="center"/>
          </w:tcPr>
          <w:p>
            <w:pPr>
              <w:jc w:val="center"/>
            </w:pPr>
            <w:r/>
            <w:r>
              <w:rPr>
                <w:rFonts w:ascii="Times New Roman" w:hAnsi="Times New Roman" w:eastAsia="SimSun"/>
                <w:b w:val="0"/>
                <w:sz w:val="18"/>
              </w:rPr>
              <w:t>表达 Cycle 26 不确定性</w:t>
            </w:r>
          </w:p>
        </w:tc>
      </w:tr>
    </w:tbl>
    <w:p>
      <w:pPr>
        <w:jc w:val="center"/>
      </w:pPr>
      <w:r>
        <w:rPr>
          <w:rFonts w:ascii="Times New Roman" w:hAnsi="Times New Roman" w:eastAsia="SimSun"/>
          <w:i/>
          <w:sz w:val="18"/>
        </w:rPr>
        <w:t>表3  评价指标体系</w:t>
      </w:r>
    </w:p>
    <w:p>
      <w:pPr>
        <w:pStyle w:val="Heading1"/>
      </w:pPr>
      <w:r>
        <w:t>六、当前实现结果对方法的反馈</w:t>
      </w:r>
    </w:p>
    <w:p>
      <w:pPr>
        <w:jc w:val="both"/>
      </w:pPr>
      <w:r>
        <w:rPr>
          <w:rFonts w:ascii="Times New Roman" w:hAnsi="Times New Roman" w:eastAsia="SimSun"/>
          <w:sz w:val="21"/>
        </w:rPr>
        <w:t>从双留出结果看，M1 作为严格先验基线不够稳定，说明“上一周形态直接决定下一周形态”的假设过强；M2 能利用早期观测更新趋势，但在弱周期上容易高估；M3 能改善峰值幅度，但峰值时间可能漂移；M4 在 Cycle 24 与 Cycle 25 上都给出了最稳定的整体误差表现，因此适合作为当前主线。</w:t>
      </w:r>
    </w:p>
    <w:tbl>
      <w:tblPr>
        <w:tblW w:type="auto" w:w="0"/>
        <w:jc w:val="center"/>
        <w:tblLook w:firstColumn="1" w:firstRow="1" w:lastColumn="0" w:lastRow="0" w:noHBand="0" w:noVBand="1" w:val="04A0"/>
        <w:tblBorders>
          <w:top w:val="single" w:sz="12" w:color="000000"/>
          <w:left w:val="nil"/>
          <w:bottom w:val="single" w:sz="12" w:color="000000"/>
          <w:right w:val="nil"/>
          <w:insideH w:val="single" w:sz="4" w:color="BFBFBF"/>
          <w:insideV w:val="nil"/>
        </w:tblBorders>
      </w:tblPr>
      <w:tblGrid>
        <w:gridCol w:w="1344"/>
        <w:gridCol w:w="1344"/>
        <w:gridCol w:w="1344"/>
        <w:gridCol w:w="1344"/>
        <w:gridCol w:w="1344"/>
        <w:gridCol w:w="1344"/>
        <w:gridCol w:w="1344"/>
      </w:tblGrid>
      <w:tr>
        <w:tc>
          <w:tcPr>
            <w:tcW w:type="dxa" w:w="1344"/>
            <w:vAlign w:val="center"/>
            <w:tcBorders>
              <w:bottom w:val="single" w:sz="8" w:color="000000"/>
            </w:tcBorders>
          </w:tcPr>
          <w:p>
            <w:pPr>
              <w:jc w:val="center"/>
            </w:pPr>
            <w:r/>
            <w:r>
              <w:rPr>
                <w:rFonts w:ascii="Times New Roman" w:hAnsi="Times New Roman" w:eastAsia="SimSun"/>
                <w:b/>
                <w:sz w:val="19"/>
              </w:rPr>
              <w:t>周期</w:t>
            </w:r>
          </w:p>
        </w:tc>
        <w:tc>
          <w:tcPr>
            <w:tcW w:type="dxa" w:w="1344"/>
            <w:vAlign w:val="center"/>
            <w:tcBorders>
              <w:bottom w:val="single" w:sz="8" w:color="000000"/>
            </w:tcBorders>
          </w:tcPr>
          <w:p>
            <w:pPr>
              <w:jc w:val="center"/>
            </w:pPr>
            <w:r/>
            <w:r>
              <w:rPr>
                <w:rFonts w:ascii="Times New Roman" w:hAnsi="Times New Roman" w:eastAsia="SimSun"/>
                <w:b/>
                <w:sz w:val="19"/>
              </w:rPr>
              <w:t>推荐模型</w:t>
            </w:r>
          </w:p>
        </w:tc>
        <w:tc>
          <w:tcPr>
            <w:tcW w:type="dxa" w:w="1344"/>
            <w:vAlign w:val="center"/>
            <w:tcBorders>
              <w:bottom w:val="single" w:sz="8" w:color="000000"/>
            </w:tcBorders>
          </w:tcPr>
          <w:p>
            <w:pPr>
              <w:jc w:val="center"/>
            </w:pPr>
            <w:r/>
            <w:r>
              <w:rPr>
                <w:rFonts w:ascii="Times New Roman" w:hAnsi="Times New Roman" w:eastAsia="SimSun"/>
                <w:b/>
                <w:sz w:val="19"/>
              </w:rPr>
              <w:t>观测月数</w:t>
            </w:r>
          </w:p>
        </w:tc>
        <w:tc>
          <w:tcPr>
            <w:tcW w:type="dxa" w:w="1344"/>
            <w:vAlign w:val="center"/>
            <w:tcBorders>
              <w:bottom w:val="single" w:sz="8" w:color="000000"/>
            </w:tcBorders>
          </w:tcPr>
          <w:p>
            <w:pPr>
              <w:jc w:val="center"/>
            </w:pPr>
            <w:r/>
            <w:r>
              <w:rPr>
                <w:rFonts w:ascii="Times New Roman" w:hAnsi="Times New Roman" w:eastAsia="SimSun"/>
                <w:b/>
                <w:sz w:val="19"/>
              </w:rPr>
              <w:t>MAE</w:t>
            </w:r>
          </w:p>
        </w:tc>
        <w:tc>
          <w:tcPr>
            <w:tcW w:type="dxa" w:w="1344"/>
            <w:vAlign w:val="center"/>
            <w:tcBorders>
              <w:bottom w:val="single" w:sz="8" w:color="000000"/>
            </w:tcBorders>
          </w:tcPr>
          <w:p>
            <w:pPr>
              <w:jc w:val="center"/>
            </w:pPr>
            <w:r/>
            <w:r>
              <w:rPr>
                <w:rFonts w:ascii="Times New Roman" w:hAnsi="Times New Roman" w:eastAsia="SimSun"/>
                <w:b/>
                <w:sz w:val="19"/>
              </w:rPr>
              <w:t>RMSE</w:t>
            </w:r>
          </w:p>
        </w:tc>
        <w:tc>
          <w:tcPr>
            <w:tcW w:type="dxa" w:w="1344"/>
            <w:vAlign w:val="center"/>
            <w:tcBorders>
              <w:bottom w:val="single" w:sz="8" w:color="000000"/>
            </w:tcBorders>
          </w:tcPr>
          <w:p>
            <w:pPr>
              <w:jc w:val="center"/>
            </w:pPr>
            <w:r/>
            <w:r>
              <w:rPr>
                <w:rFonts w:ascii="Times New Roman" w:hAnsi="Times New Roman" w:eastAsia="SimSun"/>
                <w:b/>
                <w:sz w:val="19"/>
              </w:rPr>
              <w:t>R</w:t>
            </w:r>
          </w:p>
        </w:tc>
        <w:tc>
          <w:tcPr>
            <w:tcW w:type="dxa" w:w="1344"/>
            <w:vAlign w:val="center"/>
            <w:tcBorders>
              <w:bottom w:val="single" w:sz="8" w:color="000000"/>
            </w:tcBorders>
          </w:tcPr>
          <w:p>
            <w:pPr>
              <w:jc w:val="center"/>
            </w:pPr>
            <w:r/>
            <w:r>
              <w:rPr>
                <w:rFonts w:ascii="Times New Roman" w:hAnsi="Times New Roman" w:eastAsia="SimSun"/>
                <w:b/>
                <w:sz w:val="19"/>
              </w:rPr>
              <w:t>R²</w:t>
            </w:r>
          </w:p>
        </w:tc>
      </w:tr>
      <w:tr>
        <w:tc>
          <w:tcPr>
            <w:tcW w:type="dxa" w:w="1344"/>
            <w:vAlign w:val="center"/>
          </w:tcPr>
          <w:p>
            <w:pPr>
              <w:jc w:val="center"/>
            </w:pPr>
            <w:r/>
            <w:r>
              <w:rPr>
                <w:rFonts w:ascii="Times New Roman" w:hAnsi="Times New Roman" w:eastAsia="SimSun"/>
                <w:b w:val="0"/>
                <w:sz w:val="18"/>
              </w:rPr>
              <w:t>24</w:t>
            </w:r>
          </w:p>
        </w:tc>
        <w:tc>
          <w:tcPr>
            <w:tcW w:type="dxa" w:w="1344"/>
            <w:vAlign w:val="center"/>
          </w:tcPr>
          <w:p>
            <w:pPr>
              <w:jc w:val="center"/>
            </w:pPr>
            <w:r/>
            <w:r>
              <w:rPr>
                <w:rFonts w:ascii="Times New Roman" w:hAnsi="Times New Roman" w:eastAsia="SimSun"/>
                <w:b w:val="0"/>
                <w:sz w:val="18"/>
              </w:rPr>
              <w:t>M4 parametric Waldmeier curve (60m)</w:t>
            </w:r>
          </w:p>
        </w:tc>
        <w:tc>
          <w:tcPr>
            <w:tcW w:type="dxa" w:w="1344"/>
            <w:vAlign w:val="center"/>
          </w:tcPr>
          <w:p>
            <w:pPr>
              <w:jc w:val="center"/>
            </w:pPr>
            <w:r/>
            <w:r>
              <w:rPr>
                <w:rFonts w:ascii="Times New Roman" w:hAnsi="Times New Roman" w:eastAsia="SimSun"/>
                <w:b w:val="0"/>
                <w:sz w:val="18"/>
              </w:rPr>
              <w:t>60</w:t>
            </w:r>
          </w:p>
        </w:tc>
        <w:tc>
          <w:tcPr>
            <w:tcW w:type="dxa" w:w="1344"/>
            <w:vAlign w:val="center"/>
          </w:tcPr>
          <w:p>
            <w:pPr>
              <w:jc w:val="center"/>
            </w:pPr>
            <w:r/>
            <w:r>
              <w:rPr>
                <w:rFonts w:ascii="Times New Roman" w:hAnsi="Times New Roman" w:eastAsia="SimSun"/>
                <w:b w:val="0"/>
                <w:sz w:val="18"/>
              </w:rPr>
              <w:t>10.891</w:t>
            </w:r>
          </w:p>
        </w:tc>
        <w:tc>
          <w:tcPr>
            <w:tcW w:type="dxa" w:w="1344"/>
            <w:vAlign w:val="center"/>
          </w:tcPr>
          <w:p>
            <w:pPr>
              <w:jc w:val="center"/>
            </w:pPr>
            <w:r/>
            <w:r>
              <w:rPr>
                <w:rFonts w:ascii="Times New Roman" w:hAnsi="Times New Roman" w:eastAsia="SimSun"/>
                <w:b w:val="0"/>
                <w:sz w:val="18"/>
              </w:rPr>
              <w:t>14.180</w:t>
            </w:r>
          </w:p>
        </w:tc>
        <w:tc>
          <w:tcPr>
            <w:tcW w:type="dxa" w:w="1344"/>
            <w:vAlign w:val="center"/>
          </w:tcPr>
          <w:p>
            <w:pPr>
              <w:jc w:val="center"/>
            </w:pPr>
            <w:r/>
            <w:r>
              <w:rPr>
                <w:rFonts w:ascii="Times New Roman" w:hAnsi="Times New Roman" w:eastAsia="SimSun"/>
                <w:b w:val="0"/>
                <w:sz w:val="18"/>
              </w:rPr>
              <w:t>0.994</w:t>
            </w:r>
          </w:p>
        </w:tc>
        <w:tc>
          <w:tcPr>
            <w:tcW w:type="dxa" w:w="1344"/>
            <w:vAlign w:val="center"/>
          </w:tcPr>
          <w:p>
            <w:pPr>
              <w:jc w:val="center"/>
            </w:pPr>
            <w:r/>
            <w:r>
              <w:rPr>
                <w:rFonts w:ascii="Times New Roman" w:hAnsi="Times New Roman" w:eastAsia="SimSun"/>
                <w:b w:val="0"/>
                <w:sz w:val="18"/>
              </w:rPr>
              <w:t>0.863</w:t>
            </w:r>
          </w:p>
        </w:tc>
      </w:tr>
      <w:tr>
        <w:tc>
          <w:tcPr>
            <w:tcW w:type="dxa" w:w="1344"/>
            <w:vAlign w:val="center"/>
          </w:tcPr>
          <w:p>
            <w:pPr>
              <w:jc w:val="center"/>
            </w:pPr>
            <w:r/>
            <w:r>
              <w:rPr>
                <w:rFonts w:ascii="Times New Roman" w:hAnsi="Times New Roman" w:eastAsia="SimSun"/>
                <w:b w:val="0"/>
                <w:sz w:val="18"/>
              </w:rPr>
              <w:t>25</w:t>
            </w:r>
          </w:p>
        </w:tc>
        <w:tc>
          <w:tcPr>
            <w:tcW w:type="dxa" w:w="1344"/>
            <w:vAlign w:val="center"/>
          </w:tcPr>
          <w:p>
            <w:pPr>
              <w:jc w:val="center"/>
            </w:pPr>
            <w:r/>
            <w:r>
              <w:rPr>
                <w:rFonts w:ascii="Times New Roman" w:hAnsi="Times New Roman" w:eastAsia="SimSun"/>
                <w:b w:val="0"/>
                <w:sz w:val="18"/>
              </w:rPr>
              <w:t>M4 parametric Waldmeier curve (36m)</w:t>
            </w:r>
          </w:p>
        </w:tc>
        <w:tc>
          <w:tcPr>
            <w:tcW w:type="dxa" w:w="1344"/>
            <w:vAlign w:val="center"/>
          </w:tcPr>
          <w:p>
            <w:pPr>
              <w:jc w:val="center"/>
            </w:pPr>
            <w:r/>
            <w:r>
              <w:rPr>
                <w:rFonts w:ascii="Times New Roman" w:hAnsi="Times New Roman" w:eastAsia="SimSun"/>
                <w:b w:val="0"/>
                <w:sz w:val="18"/>
              </w:rPr>
              <w:t>36</w:t>
            </w:r>
          </w:p>
        </w:tc>
        <w:tc>
          <w:tcPr>
            <w:tcW w:type="dxa" w:w="1344"/>
            <w:vAlign w:val="center"/>
          </w:tcPr>
          <w:p>
            <w:pPr>
              <w:jc w:val="center"/>
            </w:pPr>
            <w:r/>
            <w:r>
              <w:rPr>
                <w:rFonts w:ascii="Times New Roman" w:hAnsi="Times New Roman" w:eastAsia="SimSun"/>
                <w:b w:val="0"/>
                <w:sz w:val="18"/>
              </w:rPr>
              <w:t>6.144</w:t>
            </w:r>
          </w:p>
        </w:tc>
        <w:tc>
          <w:tcPr>
            <w:tcW w:type="dxa" w:w="1344"/>
            <w:vAlign w:val="center"/>
          </w:tcPr>
          <w:p>
            <w:pPr>
              <w:jc w:val="center"/>
            </w:pPr>
            <w:r/>
            <w:r>
              <w:rPr>
                <w:rFonts w:ascii="Times New Roman" w:hAnsi="Times New Roman" w:eastAsia="SimSun"/>
                <w:b w:val="0"/>
                <w:sz w:val="18"/>
              </w:rPr>
              <w:t>7.344</w:t>
            </w:r>
          </w:p>
        </w:tc>
        <w:tc>
          <w:tcPr>
            <w:tcW w:type="dxa" w:w="1344"/>
            <w:vAlign w:val="center"/>
          </w:tcPr>
          <w:p>
            <w:pPr>
              <w:jc w:val="center"/>
            </w:pPr>
            <w:r/>
            <w:r>
              <w:rPr>
                <w:rFonts w:ascii="Times New Roman" w:hAnsi="Times New Roman" w:eastAsia="SimSun"/>
                <w:b w:val="0"/>
                <w:sz w:val="18"/>
              </w:rPr>
              <w:t>0.850</w:t>
            </w:r>
          </w:p>
        </w:tc>
        <w:tc>
          <w:tcPr>
            <w:tcW w:type="dxa" w:w="1344"/>
            <w:vAlign w:val="center"/>
          </w:tcPr>
          <w:p>
            <w:pPr>
              <w:jc w:val="center"/>
            </w:pPr>
            <w:r/>
            <w:r>
              <w:rPr>
                <w:rFonts w:ascii="Times New Roman" w:hAnsi="Times New Roman" w:eastAsia="SimSun"/>
                <w:b w:val="0"/>
                <w:sz w:val="18"/>
              </w:rPr>
              <w:t>0.710</w:t>
            </w:r>
          </w:p>
        </w:tc>
      </w:tr>
    </w:tbl>
    <w:p>
      <w:pPr>
        <w:jc w:val="center"/>
      </w:pPr>
      <w:r>
        <w:rPr>
          <w:rFonts w:ascii="Times New Roman" w:hAnsi="Times New Roman" w:eastAsia="SimSun"/>
          <w:i/>
          <w:sz w:val="18"/>
        </w:rPr>
        <w:t>表4  双留出验证推荐模型</w:t>
      </w:r>
    </w:p>
    <w:p>
      <w:pPr>
        <w:pStyle w:val="Heading1"/>
      </w:pPr>
      <w:r>
        <w:t>七、Cycle 26 情景预测实现</w:t>
      </w:r>
    </w:p>
    <w:p>
      <w:pPr>
        <w:jc w:val="both"/>
      </w:pPr>
      <w:r>
        <w:rPr>
          <w:rFonts w:ascii="Times New Roman" w:hAnsi="Times New Roman" w:eastAsia="SimSun"/>
          <w:sz w:val="21"/>
        </w:rPr>
        <w:t>在完成 Cycle 25 当前形态拟合后，程序估计 Cycle 25 剩余下降段和下一极小期时间，再根据历史周期长度和峰值强度分布构建 Cycle 26 弱、中、强三种情景。当前输出不采用单点确定性峰值，而是给出多情景范围，以反映单变量 SSN 对下一活动周强度约束不足的事实。</w:t>
      </w:r>
    </w:p>
    <w:tbl>
      <w:tblPr>
        <w:tblW w:type="auto" w:w="0"/>
        <w:jc w:val="center"/>
        <w:tblLook w:firstColumn="1" w:firstRow="1" w:lastColumn="0" w:lastRow="0" w:noHBand="0" w:noVBand="1" w:val="04A0"/>
        <w:tblBorders>
          <w:top w:val="single" w:sz="12" w:color="000000"/>
          <w:left w:val="nil"/>
          <w:bottom w:val="single" w:sz="12" w:color="000000"/>
          <w:right w:val="nil"/>
          <w:insideH w:val="single" w:sz="4" w:color="BFBFBF"/>
          <w:insideV w:val="nil"/>
        </w:tblBorders>
      </w:tblPr>
      <w:tblGrid>
        <w:gridCol w:w="4702"/>
        <w:gridCol w:w="4702"/>
      </w:tblGrid>
      <w:tr>
        <w:tc>
          <w:tcPr>
            <w:tcW w:type="dxa" w:w="4702"/>
            <w:vAlign w:val="center"/>
            <w:tcBorders>
              <w:bottom w:val="single" w:sz="8" w:color="000000"/>
            </w:tcBorders>
          </w:tcPr>
          <w:p>
            <w:pPr>
              <w:jc w:val="center"/>
            </w:pPr>
            <w:r/>
            <w:r>
              <w:rPr>
                <w:rFonts w:ascii="Times New Roman" w:hAnsi="Times New Roman" w:eastAsia="SimSun"/>
                <w:b/>
                <w:sz w:val="19"/>
              </w:rPr>
              <w:t>项目</w:t>
            </w:r>
          </w:p>
        </w:tc>
        <w:tc>
          <w:tcPr>
            <w:tcW w:type="dxa" w:w="4702"/>
            <w:vAlign w:val="center"/>
            <w:tcBorders>
              <w:bottom w:val="single" w:sz="8" w:color="000000"/>
            </w:tcBorders>
          </w:tcPr>
          <w:p>
            <w:pPr>
              <w:jc w:val="center"/>
            </w:pPr>
            <w:r/>
            <w:r>
              <w:rPr>
                <w:rFonts w:ascii="Times New Roman" w:hAnsi="Times New Roman" w:eastAsia="SimSun"/>
                <w:b/>
                <w:sz w:val="19"/>
              </w:rPr>
              <w:t>结果</w:t>
            </w:r>
          </w:p>
        </w:tc>
      </w:tr>
      <w:tr>
        <w:tc>
          <w:tcPr>
            <w:tcW w:type="dxa" w:w="4702"/>
            <w:vAlign w:val="center"/>
          </w:tcPr>
          <w:p>
            <w:pPr>
              <w:jc w:val="center"/>
            </w:pPr>
            <w:r/>
            <w:r>
              <w:rPr>
                <w:rFonts w:ascii="Times New Roman" w:hAnsi="Times New Roman" w:eastAsia="SimSun"/>
                <w:b w:val="0"/>
                <w:sz w:val="18"/>
              </w:rPr>
              <w:t>cycle25_start</w:t>
            </w:r>
          </w:p>
        </w:tc>
        <w:tc>
          <w:tcPr>
            <w:tcW w:type="dxa" w:w="4702"/>
            <w:vAlign w:val="center"/>
          </w:tcPr>
          <w:p>
            <w:pPr>
              <w:jc w:val="center"/>
            </w:pPr>
            <w:r/>
            <w:r>
              <w:rPr>
                <w:rFonts w:ascii="Times New Roman" w:hAnsi="Times New Roman" w:eastAsia="SimSun"/>
                <w:b w:val="0"/>
                <w:sz w:val="18"/>
              </w:rPr>
              <w:t>2019-12</w:t>
            </w:r>
          </w:p>
        </w:tc>
      </w:tr>
      <w:tr>
        <w:tc>
          <w:tcPr>
            <w:tcW w:type="dxa" w:w="4702"/>
            <w:vAlign w:val="center"/>
          </w:tcPr>
          <w:p>
            <w:pPr>
              <w:jc w:val="center"/>
            </w:pPr>
            <w:r/>
            <w:r>
              <w:rPr>
                <w:rFonts w:ascii="Times New Roman" w:hAnsi="Times New Roman" w:eastAsia="SimSun"/>
                <w:b w:val="0"/>
                <w:sz w:val="18"/>
              </w:rPr>
              <w:t>latest_observation</w:t>
            </w:r>
          </w:p>
        </w:tc>
        <w:tc>
          <w:tcPr>
            <w:tcW w:type="dxa" w:w="4702"/>
            <w:vAlign w:val="center"/>
          </w:tcPr>
          <w:p>
            <w:pPr>
              <w:jc w:val="center"/>
            </w:pPr>
            <w:r/>
            <w:r>
              <w:rPr>
                <w:rFonts w:ascii="Times New Roman" w:hAnsi="Times New Roman" w:eastAsia="SimSun"/>
                <w:b w:val="0"/>
                <w:sz w:val="18"/>
              </w:rPr>
              <w:t>2025-10</w:t>
            </w:r>
          </w:p>
        </w:tc>
      </w:tr>
      <w:tr>
        <w:tc>
          <w:tcPr>
            <w:tcW w:type="dxa" w:w="4702"/>
            <w:vAlign w:val="center"/>
          </w:tcPr>
          <w:p>
            <w:pPr>
              <w:jc w:val="center"/>
            </w:pPr>
            <w:r/>
            <w:r>
              <w:rPr>
                <w:rFonts w:ascii="Times New Roman" w:hAnsi="Times New Roman" w:eastAsia="SimSun"/>
                <w:b w:val="0"/>
                <w:sz w:val="18"/>
              </w:rPr>
              <w:t>estimated_cycle26_start</w:t>
            </w:r>
          </w:p>
        </w:tc>
        <w:tc>
          <w:tcPr>
            <w:tcW w:type="dxa" w:w="4702"/>
            <w:vAlign w:val="center"/>
          </w:tcPr>
          <w:p>
            <w:pPr>
              <w:jc w:val="center"/>
            </w:pPr>
            <w:r/>
            <w:r>
              <w:rPr>
                <w:rFonts w:ascii="Times New Roman" w:hAnsi="Times New Roman" w:eastAsia="SimSun"/>
                <w:b w:val="0"/>
                <w:sz w:val="18"/>
              </w:rPr>
              <w:t>2031-03</w:t>
            </w:r>
          </w:p>
        </w:tc>
      </w:tr>
      <w:tr>
        <w:tc>
          <w:tcPr>
            <w:tcW w:type="dxa" w:w="4702"/>
            <w:vAlign w:val="center"/>
          </w:tcPr>
          <w:p>
            <w:pPr>
              <w:jc w:val="center"/>
            </w:pPr>
            <w:r/>
            <w:r>
              <w:rPr>
                <w:rFonts w:ascii="Times New Roman" w:hAnsi="Times New Roman" w:eastAsia="SimSun"/>
                <w:b w:val="0"/>
                <w:sz w:val="18"/>
              </w:rPr>
              <w:t>estimated_cycle26_medium_peak_date</w:t>
            </w:r>
          </w:p>
        </w:tc>
        <w:tc>
          <w:tcPr>
            <w:tcW w:type="dxa" w:w="4702"/>
            <w:vAlign w:val="center"/>
          </w:tcPr>
          <w:p>
            <w:pPr>
              <w:jc w:val="center"/>
            </w:pPr>
            <w:r/>
            <w:r>
              <w:rPr>
                <w:rFonts w:ascii="Times New Roman" w:hAnsi="Times New Roman" w:eastAsia="SimSun"/>
                <w:b w:val="0"/>
                <w:sz w:val="18"/>
              </w:rPr>
              <w:t>2036-08</w:t>
            </w:r>
          </w:p>
        </w:tc>
      </w:tr>
      <w:tr>
        <w:tc>
          <w:tcPr>
            <w:tcW w:type="dxa" w:w="4702"/>
            <w:vAlign w:val="center"/>
          </w:tcPr>
          <w:p>
            <w:pPr>
              <w:jc w:val="center"/>
            </w:pPr>
            <w:r/>
            <w:r>
              <w:rPr>
                <w:rFonts w:ascii="Times New Roman" w:hAnsi="Times New Roman" w:eastAsia="SimSun"/>
                <w:b w:val="0"/>
                <w:sz w:val="18"/>
              </w:rPr>
              <w:t>cycle26_weak_peak_ssn</w:t>
            </w:r>
          </w:p>
        </w:tc>
        <w:tc>
          <w:tcPr>
            <w:tcW w:type="dxa" w:w="4702"/>
            <w:vAlign w:val="center"/>
          </w:tcPr>
          <w:p>
            <w:pPr>
              <w:jc w:val="center"/>
            </w:pPr>
            <w:r/>
            <w:r>
              <w:rPr>
                <w:rFonts w:ascii="Times New Roman" w:hAnsi="Times New Roman" w:eastAsia="SimSun"/>
                <w:b w:val="0"/>
                <w:sz w:val="18"/>
              </w:rPr>
              <w:t>119.08</w:t>
            </w:r>
          </w:p>
        </w:tc>
      </w:tr>
      <w:tr>
        <w:tc>
          <w:tcPr>
            <w:tcW w:type="dxa" w:w="4702"/>
            <w:vAlign w:val="center"/>
          </w:tcPr>
          <w:p>
            <w:pPr>
              <w:jc w:val="center"/>
            </w:pPr>
            <w:r/>
            <w:r>
              <w:rPr>
                <w:rFonts w:ascii="Times New Roman" w:hAnsi="Times New Roman" w:eastAsia="SimSun"/>
                <w:b w:val="0"/>
                <w:sz w:val="18"/>
              </w:rPr>
              <w:t>cycle26_medium_peak_ssn</w:t>
            </w:r>
          </w:p>
        </w:tc>
        <w:tc>
          <w:tcPr>
            <w:tcW w:type="dxa" w:w="4702"/>
            <w:vAlign w:val="center"/>
          </w:tcPr>
          <w:p>
            <w:pPr>
              <w:jc w:val="center"/>
            </w:pPr>
            <w:r/>
            <w:r>
              <w:rPr>
                <w:rFonts w:ascii="Times New Roman" w:hAnsi="Times New Roman" w:eastAsia="SimSun"/>
                <w:b w:val="0"/>
                <w:sz w:val="18"/>
              </w:rPr>
              <w:t>167.29</w:t>
            </w:r>
          </w:p>
        </w:tc>
      </w:tr>
      <w:tr>
        <w:tc>
          <w:tcPr>
            <w:tcW w:type="dxa" w:w="4702"/>
            <w:vAlign w:val="center"/>
          </w:tcPr>
          <w:p>
            <w:pPr>
              <w:jc w:val="center"/>
            </w:pPr>
            <w:r/>
            <w:r>
              <w:rPr>
                <w:rFonts w:ascii="Times New Roman" w:hAnsi="Times New Roman" w:eastAsia="SimSun"/>
                <w:b w:val="0"/>
                <w:sz w:val="18"/>
              </w:rPr>
              <w:t>cycle26_strong_peak_ssn</w:t>
            </w:r>
          </w:p>
        </w:tc>
        <w:tc>
          <w:tcPr>
            <w:tcW w:type="dxa" w:w="4702"/>
            <w:vAlign w:val="center"/>
          </w:tcPr>
          <w:p>
            <w:pPr>
              <w:jc w:val="center"/>
            </w:pPr>
            <w:r/>
            <w:r>
              <w:rPr>
                <w:rFonts w:ascii="Times New Roman" w:hAnsi="Times New Roman" w:eastAsia="SimSun"/>
                <w:b w:val="0"/>
                <w:sz w:val="18"/>
              </w:rPr>
              <w:t>214.66</w:t>
            </w:r>
          </w:p>
        </w:tc>
      </w:tr>
      <w:tr>
        <w:tc>
          <w:tcPr>
            <w:tcW w:type="dxa" w:w="4702"/>
            <w:vAlign w:val="center"/>
          </w:tcPr>
          <w:p>
            <w:pPr>
              <w:jc w:val="center"/>
            </w:pPr>
            <w:r/>
            <w:r>
              <w:rPr>
                <w:rFonts w:ascii="Times New Roman" w:hAnsi="Times New Roman" w:eastAsia="SimSun"/>
                <w:b w:val="0"/>
                <w:sz w:val="18"/>
              </w:rPr>
              <w:t>cycle26_weighted_median_peak_month</w:t>
            </w:r>
          </w:p>
        </w:tc>
        <w:tc>
          <w:tcPr>
            <w:tcW w:type="dxa" w:w="4702"/>
            <w:vAlign w:val="center"/>
          </w:tcPr>
          <w:p>
            <w:pPr>
              <w:jc w:val="center"/>
            </w:pPr>
            <w:r/>
            <w:r>
              <w:rPr>
                <w:rFonts w:ascii="Times New Roman" w:hAnsi="Times New Roman" w:eastAsia="SimSun"/>
                <w:b w:val="0"/>
                <w:sz w:val="18"/>
              </w:rPr>
              <w:t>48</w:t>
            </w:r>
          </w:p>
        </w:tc>
      </w:tr>
      <w:tr>
        <w:tc>
          <w:tcPr>
            <w:tcW w:type="dxa" w:w="4702"/>
            <w:vAlign w:val="center"/>
          </w:tcPr>
          <w:p>
            <w:pPr>
              <w:jc w:val="center"/>
            </w:pPr>
            <w:r/>
            <w:r>
              <w:rPr>
                <w:rFonts w:ascii="Times New Roman" w:hAnsi="Times New Roman" w:eastAsia="SimSun"/>
                <w:b w:val="0"/>
                <w:sz w:val="18"/>
              </w:rPr>
              <w:t>cycle26_weighted_median_length_months</w:t>
            </w:r>
          </w:p>
        </w:tc>
        <w:tc>
          <w:tcPr>
            <w:tcW w:type="dxa" w:w="4702"/>
            <w:vAlign w:val="center"/>
          </w:tcPr>
          <w:p>
            <w:pPr>
              <w:jc w:val="center"/>
            </w:pPr>
            <w:r/>
            <w:r>
              <w:rPr>
                <w:rFonts w:ascii="Times New Roman" w:hAnsi="Times New Roman" w:eastAsia="SimSun"/>
                <w:b w:val="0"/>
                <w:sz w:val="18"/>
              </w:rPr>
              <w:t>126</w:t>
            </w:r>
          </w:p>
        </w:tc>
      </w:tr>
      <w:tr>
        <w:tc>
          <w:tcPr>
            <w:tcW w:type="dxa" w:w="4702"/>
            <w:vAlign w:val="center"/>
          </w:tcPr>
          <w:p>
            <w:pPr>
              <w:jc w:val="center"/>
            </w:pPr>
            <w:r/>
            <w:r>
              <w:rPr>
                <w:rFonts w:ascii="Times New Roman" w:hAnsi="Times New Roman" w:eastAsia="SimSun"/>
                <w:b w:val="0"/>
                <w:sz w:val="18"/>
              </w:rPr>
              <w:t>cycle25_waldmeier_pred_peak_amp</w:t>
            </w:r>
          </w:p>
        </w:tc>
        <w:tc>
          <w:tcPr>
            <w:tcW w:type="dxa" w:w="4702"/>
            <w:vAlign w:val="center"/>
          </w:tcPr>
          <w:p>
            <w:pPr>
              <w:jc w:val="center"/>
            </w:pPr>
            <w:r/>
            <w:r>
              <w:rPr>
                <w:rFonts w:ascii="Times New Roman" w:hAnsi="Times New Roman" w:eastAsia="SimSun"/>
                <w:b w:val="0"/>
                <w:sz w:val="18"/>
              </w:rPr>
              <w:t>159.22</w:t>
            </w:r>
          </w:p>
        </w:tc>
      </w:tr>
      <w:tr>
        <w:tc>
          <w:tcPr>
            <w:tcW w:type="dxa" w:w="4702"/>
            <w:vAlign w:val="center"/>
          </w:tcPr>
          <w:p>
            <w:pPr>
              <w:jc w:val="center"/>
            </w:pPr>
            <w:r/>
            <w:r>
              <w:rPr>
                <w:rFonts w:ascii="Times New Roman" w:hAnsi="Times New Roman" w:eastAsia="SimSun"/>
                <w:b w:val="0"/>
                <w:sz w:val="18"/>
              </w:rPr>
              <w:t>cycle25_waldmeier_pred_peak_month</w:t>
            </w:r>
          </w:p>
        </w:tc>
        <w:tc>
          <w:tcPr>
            <w:tcW w:type="dxa" w:w="4702"/>
            <w:vAlign w:val="center"/>
          </w:tcPr>
          <w:p>
            <w:pPr>
              <w:jc w:val="center"/>
            </w:pPr>
            <w:r/>
            <w:r>
              <w:rPr>
                <w:rFonts w:ascii="Times New Roman" w:hAnsi="Times New Roman" w:eastAsia="SimSun"/>
                <w:b w:val="0"/>
                <w:sz w:val="18"/>
              </w:rPr>
              <w:t>58.0</w:t>
            </w:r>
          </w:p>
        </w:tc>
      </w:tr>
      <w:tr>
        <w:tc>
          <w:tcPr>
            <w:tcW w:type="dxa" w:w="4702"/>
            <w:vAlign w:val="center"/>
          </w:tcPr>
          <w:p>
            <w:pPr>
              <w:jc w:val="center"/>
            </w:pPr>
            <w:r/>
            <w:r>
              <w:rPr>
                <w:rFonts w:ascii="Times New Roman" w:hAnsi="Times New Roman" w:eastAsia="SimSun"/>
                <w:b w:val="0"/>
                <w:sz w:val="18"/>
              </w:rPr>
              <w:t>cycle25_waldmeier_pred_length</w:t>
            </w:r>
          </w:p>
        </w:tc>
        <w:tc>
          <w:tcPr>
            <w:tcW w:type="dxa" w:w="4702"/>
            <w:vAlign w:val="center"/>
          </w:tcPr>
          <w:p>
            <w:pPr>
              <w:jc w:val="center"/>
            </w:pPr>
            <w:r/>
            <w:r>
              <w:rPr>
                <w:rFonts w:ascii="Times New Roman" w:hAnsi="Times New Roman" w:eastAsia="SimSun"/>
                <w:b w:val="0"/>
                <w:sz w:val="18"/>
              </w:rPr>
              <w:t>135.5</w:t>
            </w:r>
          </w:p>
        </w:tc>
      </w:tr>
    </w:tbl>
    <w:p>
      <w:pPr>
        <w:jc w:val="center"/>
      </w:pPr>
      <w:r>
        <w:rPr>
          <w:rFonts w:ascii="Times New Roman" w:hAnsi="Times New Roman" w:eastAsia="SimSun"/>
          <w:i/>
          <w:sz w:val="18"/>
        </w:rPr>
        <w:t>表5  Cycle 26 情景预测主要输出</w:t>
      </w:r>
    </w:p>
    <w:p>
      <w:pPr>
        <w:jc w:val="center"/>
      </w:pPr>
      <w:r>
        <w:drawing>
          <wp:inline xmlns:a="http://schemas.openxmlformats.org/drawingml/2006/main" xmlns:pic="http://schemas.openxmlformats.org/drawingml/2006/picture">
            <wp:extent cx="5943600" cy="2547257"/>
            <wp:docPr id="2" name="Picture 2"/>
            <wp:cNvGraphicFramePr>
              <a:graphicFrameLocks noChangeAspect="1"/>
            </wp:cNvGraphicFramePr>
            <a:graphic>
              <a:graphicData uri="http://schemas.openxmlformats.org/drawingml/2006/picture">
                <pic:pic>
                  <pic:nvPicPr>
                    <pic:cNvPr id="0" name="fig_cycle25_remaining_cycle26_scenarios.png"/>
                    <pic:cNvPicPr/>
                  </pic:nvPicPr>
                  <pic:blipFill>
                    <a:blip r:embed="rId12"/>
                    <a:stretch>
                      <a:fillRect/>
                    </a:stretch>
                  </pic:blipFill>
                  <pic:spPr>
                    <a:xfrm>
                      <a:off x="0" y="0"/>
                      <a:ext cx="5943600" cy="2547257"/>
                    </a:xfrm>
                    <a:prstGeom prst="rect"/>
                  </pic:spPr>
                </pic:pic>
              </a:graphicData>
            </a:graphic>
          </wp:inline>
        </w:drawing>
      </w:r>
    </w:p>
    <w:p>
      <w:pPr>
        <w:jc w:val="center"/>
      </w:pPr>
      <w:r>
        <w:rPr>
          <w:rFonts w:ascii="Times New Roman" w:hAnsi="Times New Roman" w:eastAsia="SimSun"/>
          <w:i/>
          <w:sz w:val="18"/>
        </w:rPr>
        <w:t>图2  Cycle 25 剩余段与 Cycle 26 情景预测</w:t>
      </w:r>
    </w:p>
    <w:p>
      <w:pPr>
        <w:pStyle w:val="Heading1"/>
      </w:pPr>
      <w:r>
        <w:t>八、后续优化路径</w:t>
      </w:r>
    </w:p>
    <w:p>
      <w:pPr>
        <w:jc w:val="both"/>
      </w:pPr>
      <w:r>
        <w:rPr>
          <w:rFonts w:ascii="Times New Roman" w:hAnsi="Times New Roman" w:eastAsia="SimSun"/>
          <w:sz w:val="21"/>
        </w:rPr>
        <w:t>后续优化应分为“单变量 SSN 内部优化”和“多源前兆因子扩展”两类。短期内，可继续优化峰值模块、弱/强周期分类模块和 M4 参数化曲线；中长期应引入 F10.7、太阳黑子面积、极区磁场、aa/Ap 等前兆变量，构建真正面向下一活动周强度的多因子预测模型。</w:t>
      </w:r>
    </w:p>
    <w:tbl>
      <w:tblPr>
        <w:tblW w:type="auto" w:w="0"/>
        <w:jc w:val="center"/>
        <w:tblLook w:firstColumn="1" w:firstRow="1" w:lastColumn="0" w:lastRow="0" w:noHBand="0" w:noVBand="1" w:val="04A0"/>
        <w:tblBorders>
          <w:top w:val="single" w:sz="12" w:color="000000"/>
          <w:left w:val="nil"/>
          <w:bottom w:val="single" w:sz="12" w:color="000000"/>
          <w:right w:val="nil"/>
          <w:insideH w:val="single" w:sz="4" w:color="BFBFBF"/>
          <w:insideV w:val="nil"/>
        </w:tblBorders>
      </w:tblPr>
      <w:tblGrid>
        <w:gridCol w:w="2351"/>
        <w:gridCol w:w="2351"/>
        <w:gridCol w:w="2351"/>
        <w:gridCol w:w="2351"/>
      </w:tblGrid>
      <w:tr>
        <w:tc>
          <w:tcPr>
            <w:tcW w:type="dxa" w:w="2351"/>
            <w:vAlign w:val="center"/>
            <w:tcBorders>
              <w:bottom w:val="single" w:sz="8" w:color="000000"/>
            </w:tcBorders>
          </w:tcPr>
          <w:p>
            <w:pPr>
              <w:jc w:val="center"/>
            </w:pPr>
            <w:r/>
            <w:r>
              <w:rPr>
                <w:rFonts w:ascii="Times New Roman" w:hAnsi="Times New Roman" w:eastAsia="SimSun"/>
                <w:b/>
                <w:sz w:val="19"/>
              </w:rPr>
              <w:t>步骤</w:t>
            </w:r>
          </w:p>
        </w:tc>
        <w:tc>
          <w:tcPr>
            <w:tcW w:type="dxa" w:w="2351"/>
            <w:vAlign w:val="center"/>
            <w:tcBorders>
              <w:bottom w:val="single" w:sz="8" w:color="000000"/>
            </w:tcBorders>
          </w:tcPr>
          <w:p>
            <w:pPr>
              <w:jc w:val="center"/>
            </w:pPr>
            <w:r/>
            <w:r>
              <w:rPr>
                <w:rFonts w:ascii="Times New Roman" w:hAnsi="Times New Roman" w:eastAsia="SimSun"/>
                <w:b/>
                <w:sz w:val="19"/>
              </w:rPr>
              <w:t>优化路线</w:t>
            </w:r>
          </w:p>
        </w:tc>
        <w:tc>
          <w:tcPr>
            <w:tcW w:type="dxa" w:w="2351"/>
            <w:vAlign w:val="center"/>
            <w:tcBorders>
              <w:bottom w:val="single" w:sz="8" w:color="000000"/>
            </w:tcBorders>
          </w:tcPr>
          <w:p>
            <w:pPr>
              <w:jc w:val="center"/>
            </w:pPr>
            <w:r/>
            <w:r>
              <w:rPr>
                <w:rFonts w:ascii="Times New Roman" w:hAnsi="Times New Roman" w:eastAsia="SimSun"/>
                <w:b/>
                <w:sz w:val="19"/>
              </w:rPr>
              <w:t>目的</w:t>
            </w:r>
          </w:p>
        </w:tc>
        <w:tc>
          <w:tcPr>
            <w:tcW w:type="dxa" w:w="2351"/>
            <w:vAlign w:val="center"/>
            <w:tcBorders>
              <w:bottom w:val="single" w:sz="8" w:color="000000"/>
            </w:tcBorders>
          </w:tcPr>
          <w:p>
            <w:pPr>
              <w:jc w:val="center"/>
            </w:pPr>
            <w:r/>
            <w:r>
              <w:rPr>
                <w:rFonts w:ascii="Times New Roman" w:hAnsi="Times New Roman" w:eastAsia="SimSun"/>
                <w:b/>
                <w:sz w:val="19"/>
              </w:rPr>
              <w:t>预期收益</w:t>
            </w:r>
          </w:p>
        </w:tc>
      </w:tr>
      <w:tr>
        <w:tc>
          <w:tcPr>
            <w:tcW w:type="dxa" w:w="2351"/>
            <w:vAlign w:val="center"/>
          </w:tcPr>
          <w:p>
            <w:pPr>
              <w:jc w:val="center"/>
            </w:pPr>
            <w:r/>
            <w:r>
              <w:rPr>
                <w:rFonts w:ascii="Times New Roman" w:hAnsi="Times New Roman" w:eastAsia="SimSun"/>
                <w:b w:val="0"/>
                <w:sz w:val="18"/>
              </w:rPr>
              <w:t>1</w:t>
            </w:r>
          </w:p>
        </w:tc>
        <w:tc>
          <w:tcPr>
            <w:tcW w:type="dxa" w:w="2351"/>
            <w:vAlign w:val="center"/>
          </w:tcPr>
          <w:p>
            <w:pPr>
              <w:jc w:val="center"/>
            </w:pPr>
            <w:r/>
            <w:r>
              <w:rPr>
                <w:rFonts w:ascii="Times New Roman" w:hAnsi="Times New Roman" w:eastAsia="SimSun"/>
                <w:b w:val="0"/>
                <w:sz w:val="18"/>
              </w:rPr>
              <w:t>Cycle 24/25 strict leave-out validation</w:t>
            </w:r>
          </w:p>
        </w:tc>
        <w:tc>
          <w:tcPr>
            <w:tcW w:type="dxa" w:w="2351"/>
            <w:vAlign w:val="center"/>
          </w:tcPr>
          <w:p>
            <w:pPr>
              <w:jc w:val="center"/>
            </w:pPr>
            <w:r/>
            <w:r>
              <w:rPr>
                <w:rFonts w:ascii="Times New Roman" w:hAnsi="Times New Roman" w:eastAsia="SimSun"/>
                <w:b w:val="0"/>
                <w:sz w:val="18"/>
              </w:rPr>
              <w:t>用两个真实留出周期判断方法是否稳定，而不是只看 Cycle 25</w:t>
            </w:r>
          </w:p>
        </w:tc>
        <w:tc>
          <w:tcPr>
            <w:tcW w:type="dxa" w:w="2351"/>
            <w:vAlign w:val="center"/>
          </w:tcPr>
          <w:p>
            <w:pPr>
              <w:jc w:val="center"/>
            </w:pPr>
            <w:r/>
            <w:r>
              <w:rPr>
                <w:rFonts w:ascii="Times New Roman" w:hAnsi="Times New Roman" w:eastAsia="SimSun"/>
                <w:b w:val="0"/>
                <w:sz w:val="18"/>
              </w:rPr>
              <w:t>发现弱周/强周下的失效模式</w:t>
            </w:r>
          </w:p>
        </w:tc>
      </w:tr>
      <w:tr>
        <w:tc>
          <w:tcPr>
            <w:tcW w:type="dxa" w:w="2351"/>
            <w:vAlign w:val="center"/>
          </w:tcPr>
          <w:p>
            <w:pPr>
              <w:jc w:val="center"/>
            </w:pPr>
            <w:r/>
            <w:r>
              <w:rPr>
                <w:rFonts w:ascii="Times New Roman" w:hAnsi="Times New Roman" w:eastAsia="SimSun"/>
                <w:b w:val="0"/>
                <w:sz w:val="18"/>
              </w:rPr>
              <w:t>2</w:t>
            </w:r>
          </w:p>
        </w:tc>
        <w:tc>
          <w:tcPr>
            <w:tcW w:type="dxa" w:w="2351"/>
            <w:vAlign w:val="center"/>
          </w:tcPr>
          <w:p>
            <w:pPr>
              <w:jc w:val="center"/>
            </w:pPr>
            <w:r/>
            <w:r>
              <w:rPr>
                <w:rFonts w:ascii="Times New Roman" w:hAnsi="Times New Roman" w:eastAsia="SimSun"/>
                <w:b w:val="0"/>
                <w:sz w:val="18"/>
              </w:rPr>
              <w:t>Predecessor-successor analog baseline</w:t>
            </w:r>
          </w:p>
        </w:tc>
        <w:tc>
          <w:tcPr>
            <w:tcW w:type="dxa" w:w="2351"/>
            <w:vAlign w:val="center"/>
          </w:tcPr>
          <w:p>
            <w:pPr>
              <w:jc w:val="center"/>
            </w:pPr>
            <w:r/>
            <w:r>
              <w:rPr>
                <w:rFonts w:ascii="Times New Roman" w:hAnsi="Times New Roman" w:eastAsia="SimSun"/>
                <w:b w:val="0"/>
                <w:sz w:val="18"/>
              </w:rPr>
              <w:t>检验上一活动周是否能预测下一活动周</w:t>
            </w:r>
          </w:p>
        </w:tc>
        <w:tc>
          <w:tcPr>
            <w:tcW w:type="dxa" w:w="2351"/>
            <w:vAlign w:val="center"/>
          </w:tcPr>
          <w:p>
            <w:pPr>
              <w:jc w:val="center"/>
            </w:pPr>
            <w:r/>
            <w:r>
              <w:rPr>
                <w:rFonts w:ascii="Times New Roman" w:hAnsi="Times New Roman" w:eastAsia="SimSun"/>
                <w:b w:val="0"/>
                <w:sz w:val="18"/>
              </w:rPr>
              <w:t>建立最低基线，通常会低估突增强周期</w:t>
            </w:r>
          </w:p>
        </w:tc>
      </w:tr>
      <w:tr>
        <w:tc>
          <w:tcPr>
            <w:tcW w:type="dxa" w:w="2351"/>
            <w:vAlign w:val="center"/>
          </w:tcPr>
          <w:p>
            <w:pPr>
              <w:jc w:val="center"/>
            </w:pPr>
            <w:r/>
            <w:r>
              <w:rPr>
                <w:rFonts w:ascii="Times New Roman" w:hAnsi="Times New Roman" w:eastAsia="SimSun"/>
                <w:b w:val="0"/>
                <w:sz w:val="18"/>
              </w:rPr>
              <w:t>3</w:t>
            </w:r>
          </w:p>
        </w:tc>
        <w:tc>
          <w:tcPr>
            <w:tcW w:type="dxa" w:w="2351"/>
            <w:vAlign w:val="center"/>
          </w:tcPr>
          <w:p>
            <w:pPr>
              <w:jc w:val="center"/>
            </w:pPr>
            <w:r/>
            <w:r>
              <w:rPr>
                <w:rFonts w:ascii="Times New Roman" w:hAnsi="Times New Roman" w:eastAsia="SimSun"/>
                <w:b w:val="0"/>
                <w:sz w:val="18"/>
              </w:rPr>
              <w:t>Early-shape update</w:t>
            </w:r>
          </w:p>
        </w:tc>
        <w:tc>
          <w:tcPr>
            <w:tcW w:type="dxa" w:w="2351"/>
            <w:vAlign w:val="center"/>
          </w:tcPr>
          <w:p>
            <w:pPr>
              <w:jc w:val="center"/>
            </w:pPr>
            <w:r/>
            <w:r>
              <w:rPr>
                <w:rFonts w:ascii="Times New Roman" w:hAnsi="Times New Roman" w:eastAsia="SimSun"/>
                <w:b w:val="0"/>
                <w:sz w:val="18"/>
              </w:rPr>
              <w:t>加入目标周期前 36/48/60 个月观测</w:t>
            </w:r>
          </w:p>
        </w:tc>
        <w:tc>
          <w:tcPr>
            <w:tcW w:type="dxa" w:w="2351"/>
            <w:vAlign w:val="center"/>
          </w:tcPr>
          <w:p>
            <w:pPr>
              <w:jc w:val="center"/>
            </w:pPr>
            <w:r/>
            <w:r>
              <w:rPr>
                <w:rFonts w:ascii="Times New Roman" w:hAnsi="Times New Roman" w:eastAsia="SimSun"/>
                <w:b w:val="0"/>
                <w:sz w:val="18"/>
              </w:rPr>
              <w:t>改善上升段后的剩余趋势和峰值位置</w:t>
            </w:r>
          </w:p>
        </w:tc>
      </w:tr>
      <w:tr>
        <w:tc>
          <w:tcPr>
            <w:tcW w:type="dxa" w:w="2351"/>
            <w:vAlign w:val="center"/>
          </w:tcPr>
          <w:p>
            <w:pPr>
              <w:jc w:val="center"/>
            </w:pPr>
            <w:r/>
            <w:r>
              <w:rPr>
                <w:rFonts w:ascii="Times New Roman" w:hAnsi="Times New Roman" w:eastAsia="SimSun"/>
                <w:b w:val="0"/>
                <w:sz w:val="18"/>
              </w:rPr>
              <w:t>4</w:t>
            </w:r>
          </w:p>
        </w:tc>
        <w:tc>
          <w:tcPr>
            <w:tcW w:type="dxa" w:w="2351"/>
            <w:vAlign w:val="center"/>
          </w:tcPr>
          <w:p>
            <w:pPr>
              <w:jc w:val="center"/>
            </w:pPr>
            <w:r/>
            <w:r>
              <w:rPr>
                <w:rFonts w:ascii="Times New Roman" w:hAnsi="Times New Roman" w:eastAsia="SimSun"/>
                <w:b w:val="0"/>
                <w:sz w:val="18"/>
              </w:rPr>
              <w:t>Waldmeier calibrated analog</w:t>
            </w:r>
          </w:p>
        </w:tc>
        <w:tc>
          <w:tcPr>
            <w:tcW w:type="dxa" w:w="2351"/>
            <w:vAlign w:val="center"/>
          </w:tcPr>
          <w:p>
            <w:pPr>
              <w:jc w:val="center"/>
            </w:pPr>
            <w:r/>
            <w:r>
              <w:rPr>
                <w:rFonts w:ascii="Times New Roman" w:hAnsi="Times New Roman" w:eastAsia="SimSun"/>
                <w:b w:val="0"/>
                <w:sz w:val="18"/>
              </w:rPr>
              <w:t>用早期上升率校正峰值幅度和峰值时间</w:t>
            </w:r>
          </w:p>
        </w:tc>
        <w:tc>
          <w:tcPr>
            <w:tcW w:type="dxa" w:w="2351"/>
            <w:vAlign w:val="center"/>
          </w:tcPr>
          <w:p>
            <w:pPr>
              <w:jc w:val="center"/>
            </w:pPr>
            <w:r/>
            <w:r>
              <w:rPr>
                <w:rFonts w:ascii="Times New Roman" w:hAnsi="Times New Roman" w:eastAsia="SimSun"/>
                <w:b w:val="0"/>
                <w:sz w:val="18"/>
              </w:rPr>
              <w:t>缓解峰值低估，是当前单变量 SSN 下最关键优化</w:t>
            </w:r>
          </w:p>
        </w:tc>
      </w:tr>
      <w:tr>
        <w:tc>
          <w:tcPr>
            <w:tcW w:type="dxa" w:w="2351"/>
            <w:vAlign w:val="center"/>
          </w:tcPr>
          <w:p>
            <w:pPr>
              <w:jc w:val="center"/>
            </w:pPr>
            <w:r/>
            <w:r>
              <w:rPr>
                <w:rFonts w:ascii="Times New Roman" w:hAnsi="Times New Roman" w:eastAsia="SimSun"/>
                <w:b w:val="0"/>
                <w:sz w:val="18"/>
              </w:rPr>
              <w:t>5</w:t>
            </w:r>
          </w:p>
        </w:tc>
        <w:tc>
          <w:tcPr>
            <w:tcW w:type="dxa" w:w="2351"/>
            <w:vAlign w:val="center"/>
          </w:tcPr>
          <w:p>
            <w:pPr>
              <w:jc w:val="center"/>
            </w:pPr>
            <w:r/>
            <w:r>
              <w:rPr>
                <w:rFonts w:ascii="Times New Roman" w:hAnsi="Times New Roman" w:eastAsia="SimSun"/>
                <w:b w:val="0"/>
                <w:sz w:val="18"/>
              </w:rPr>
              <w:t>Parametric Waldmeier/Hathaway curve</w:t>
            </w:r>
          </w:p>
        </w:tc>
        <w:tc>
          <w:tcPr>
            <w:tcW w:type="dxa" w:w="2351"/>
            <w:vAlign w:val="center"/>
          </w:tcPr>
          <w:p>
            <w:pPr>
              <w:jc w:val="center"/>
            </w:pPr>
            <w:r/>
            <w:r>
              <w:rPr>
                <w:rFonts w:ascii="Times New Roman" w:hAnsi="Times New Roman" w:eastAsia="SimSun"/>
                <w:b w:val="0"/>
                <w:sz w:val="18"/>
              </w:rPr>
              <w:t>用带物理形态的偏斜周期曲线约束长期下降段</w:t>
            </w:r>
          </w:p>
        </w:tc>
        <w:tc>
          <w:tcPr>
            <w:tcW w:type="dxa" w:w="2351"/>
            <w:vAlign w:val="center"/>
          </w:tcPr>
          <w:p>
            <w:pPr>
              <w:jc w:val="center"/>
            </w:pPr>
            <w:r/>
            <w:r>
              <w:rPr>
                <w:rFonts w:ascii="Times New Roman" w:hAnsi="Times New Roman" w:eastAsia="SimSun"/>
                <w:b w:val="0"/>
                <w:sz w:val="18"/>
              </w:rPr>
              <w:t>避免相似模板在下降段长期偏高，改善 Cycle 24 弱周期验证</w:t>
            </w:r>
          </w:p>
        </w:tc>
      </w:tr>
      <w:tr>
        <w:tc>
          <w:tcPr>
            <w:tcW w:type="dxa" w:w="2351"/>
            <w:vAlign w:val="center"/>
          </w:tcPr>
          <w:p>
            <w:pPr>
              <w:jc w:val="center"/>
            </w:pPr>
            <w:r/>
            <w:r>
              <w:rPr>
                <w:rFonts w:ascii="Times New Roman" w:hAnsi="Times New Roman" w:eastAsia="SimSun"/>
                <w:b w:val="0"/>
                <w:sz w:val="18"/>
              </w:rPr>
              <w:t>6</w:t>
            </w:r>
          </w:p>
        </w:tc>
        <w:tc>
          <w:tcPr>
            <w:tcW w:type="dxa" w:w="2351"/>
            <w:vAlign w:val="center"/>
          </w:tcPr>
          <w:p>
            <w:pPr>
              <w:jc w:val="center"/>
            </w:pPr>
            <w:r/>
            <w:r>
              <w:rPr>
                <w:rFonts w:ascii="Times New Roman" w:hAnsi="Times New Roman" w:eastAsia="SimSun"/>
                <w:b w:val="0"/>
                <w:sz w:val="18"/>
              </w:rPr>
              <w:t>Cycle 24 vs Cycle 25 error diagnosis</w:t>
            </w:r>
          </w:p>
        </w:tc>
        <w:tc>
          <w:tcPr>
            <w:tcW w:type="dxa" w:w="2351"/>
            <w:vAlign w:val="center"/>
          </w:tcPr>
          <w:p>
            <w:pPr>
              <w:jc w:val="center"/>
            </w:pPr>
            <w:r/>
            <w:r>
              <w:rPr>
                <w:rFonts w:ascii="Times New Roman" w:hAnsi="Times New Roman" w:eastAsia="SimSun"/>
                <w:b w:val="0"/>
                <w:sz w:val="18"/>
              </w:rPr>
              <w:t>比较弱 Cycle 24 和偏强 Cycle 25 的峰值误差</w:t>
            </w:r>
          </w:p>
        </w:tc>
        <w:tc>
          <w:tcPr>
            <w:tcW w:type="dxa" w:w="2351"/>
            <w:vAlign w:val="center"/>
          </w:tcPr>
          <w:p>
            <w:pPr>
              <w:jc w:val="center"/>
            </w:pPr>
            <w:r/>
            <w:r>
              <w:rPr>
                <w:rFonts w:ascii="Times New Roman" w:hAnsi="Times New Roman" w:eastAsia="SimSun"/>
                <w:b w:val="0"/>
                <w:sz w:val="18"/>
              </w:rPr>
              <w:t>明确模型是否系统性低估强周</w:t>
            </w:r>
          </w:p>
        </w:tc>
      </w:tr>
      <w:tr>
        <w:tc>
          <w:tcPr>
            <w:tcW w:type="dxa" w:w="2351"/>
            <w:vAlign w:val="center"/>
          </w:tcPr>
          <w:p>
            <w:pPr>
              <w:jc w:val="center"/>
            </w:pPr>
            <w:r/>
            <w:r>
              <w:rPr>
                <w:rFonts w:ascii="Times New Roman" w:hAnsi="Times New Roman" w:eastAsia="SimSun"/>
                <w:b w:val="0"/>
                <w:sz w:val="18"/>
              </w:rPr>
              <w:t>7</w:t>
            </w:r>
          </w:p>
        </w:tc>
        <w:tc>
          <w:tcPr>
            <w:tcW w:type="dxa" w:w="2351"/>
            <w:vAlign w:val="center"/>
          </w:tcPr>
          <w:p>
            <w:pPr>
              <w:jc w:val="center"/>
            </w:pPr>
            <w:r/>
            <w:r>
              <w:rPr>
                <w:rFonts w:ascii="Times New Roman" w:hAnsi="Times New Roman" w:eastAsia="SimSun"/>
                <w:b w:val="0"/>
                <w:sz w:val="18"/>
              </w:rPr>
              <w:t>Cycle 26 scenario forecast</w:t>
            </w:r>
          </w:p>
        </w:tc>
        <w:tc>
          <w:tcPr>
            <w:tcW w:type="dxa" w:w="2351"/>
            <w:vAlign w:val="center"/>
          </w:tcPr>
          <w:p>
            <w:pPr>
              <w:jc w:val="center"/>
            </w:pPr>
            <w:r/>
            <w:r>
              <w:rPr>
                <w:rFonts w:ascii="Times New Roman" w:hAnsi="Times New Roman" w:eastAsia="SimSun"/>
                <w:b w:val="0"/>
                <w:sz w:val="18"/>
              </w:rPr>
              <w:t>不做武断单点预测，输出弱/中/强情景</w:t>
            </w:r>
          </w:p>
        </w:tc>
        <w:tc>
          <w:tcPr>
            <w:tcW w:type="dxa" w:w="2351"/>
            <w:vAlign w:val="center"/>
          </w:tcPr>
          <w:p>
            <w:pPr>
              <w:jc w:val="center"/>
            </w:pPr>
            <w:r/>
            <w:r>
              <w:rPr>
                <w:rFonts w:ascii="Times New Roman" w:hAnsi="Times New Roman" w:eastAsia="SimSun"/>
                <w:b w:val="0"/>
                <w:sz w:val="18"/>
              </w:rPr>
              <w:t>结果更稳，更适合报告和论文</w:t>
            </w:r>
          </w:p>
        </w:tc>
      </w:tr>
      <w:tr>
        <w:tc>
          <w:tcPr>
            <w:tcW w:type="dxa" w:w="2351"/>
            <w:vAlign w:val="center"/>
          </w:tcPr>
          <w:p>
            <w:pPr>
              <w:jc w:val="center"/>
            </w:pPr>
            <w:r/>
            <w:r>
              <w:rPr>
                <w:rFonts w:ascii="Times New Roman" w:hAnsi="Times New Roman" w:eastAsia="SimSun"/>
                <w:b w:val="0"/>
                <w:sz w:val="18"/>
              </w:rPr>
              <w:t>8</w:t>
            </w:r>
          </w:p>
        </w:tc>
        <w:tc>
          <w:tcPr>
            <w:tcW w:type="dxa" w:w="2351"/>
            <w:vAlign w:val="center"/>
          </w:tcPr>
          <w:p>
            <w:pPr>
              <w:jc w:val="center"/>
            </w:pPr>
            <w:r/>
            <w:r>
              <w:rPr>
                <w:rFonts w:ascii="Times New Roman" w:hAnsi="Times New Roman" w:eastAsia="SimSun"/>
                <w:b w:val="0"/>
                <w:sz w:val="18"/>
              </w:rPr>
              <w:t>Add precursor variables</w:t>
            </w:r>
          </w:p>
        </w:tc>
        <w:tc>
          <w:tcPr>
            <w:tcW w:type="dxa" w:w="2351"/>
            <w:vAlign w:val="center"/>
          </w:tcPr>
          <w:p>
            <w:pPr>
              <w:jc w:val="center"/>
            </w:pPr>
            <w:r/>
            <w:r>
              <w:rPr>
                <w:rFonts w:ascii="Times New Roman" w:hAnsi="Times New Roman" w:eastAsia="SimSun"/>
                <w:b w:val="0"/>
                <w:sz w:val="18"/>
              </w:rPr>
              <w:t>加入 F10.7、极区磁场、太阳黑子面积、aa/Ap 等</w:t>
            </w:r>
          </w:p>
        </w:tc>
        <w:tc>
          <w:tcPr>
            <w:tcW w:type="dxa" w:w="2351"/>
            <w:vAlign w:val="center"/>
          </w:tcPr>
          <w:p>
            <w:pPr>
              <w:jc w:val="center"/>
            </w:pPr>
            <w:r/>
            <w:r>
              <w:rPr>
                <w:rFonts w:ascii="Times New Roman" w:hAnsi="Times New Roman" w:eastAsia="SimSun"/>
                <w:b w:val="0"/>
                <w:sz w:val="18"/>
              </w:rPr>
              <w:t>真正提高下一周峰值强度预报上限</w:t>
            </w:r>
          </w:p>
        </w:tc>
      </w:tr>
    </w:tbl>
    <w:p>
      <w:pPr>
        <w:jc w:val="center"/>
      </w:pPr>
      <w:r>
        <w:rPr>
          <w:rFonts w:ascii="Times New Roman" w:hAnsi="Times New Roman" w:eastAsia="SimSun"/>
          <w:i/>
          <w:sz w:val="18"/>
        </w:rPr>
        <w:t>表6  后续优化路线</w:t>
      </w:r>
    </w:p>
    <w:p>
      <w:pPr>
        <w:pStyle w:val="Heading1"/>
      </w:pPr>
      <w:r>
        <w:t>九、建议采用的最终技术路线</w:t>
      </w:r>
    </w:p>
    <w:p>
      <w:pPr>
        <w:jc w:val="both"/>
      </w:pPr>
      <w:r>
        <w:rPr>
          <w:rFonts w:ascii="Times New Roman" w:hAnsi="Times New Roman" w:eastAsia="SimSun"/>
          <w:sz w:val="21"/>
        </w:rPr>
        <w:t>建议最终版本采用如下路线：以 13 月平滑 SSN 识别活动周结构，以 Cycle 24 和 Cycle 25 进行双留出验证，以 M4 参数化 Waldmeier 曲线作为主趋势模型，以 M3 峰值校正作为辅助模块，并将 Cycle 26 输出为弱、中、强三情景。若后续能够加入极区磁场等太阳发电机前兆因子，则可以进一步将当前情景预测升级为更有物理约束的下一周强度预测。</w:t>
      </w:r>
    </w:p>
    <w:sectPr w:rsidR="00FC693F" w:rsidRPr="0006063C" w:rsidSect="00034616">
      <w:headerReference w:type="default" r:id="rId9"/>
      <w:footerReference w:type="default" r:id="rId10"/>
      <w:pgSz w:w="12240" w:h="15840"/>
      <w:pgMar w:top="1417"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sz w:val="18"/>
      </w:rPr>
      <w:t>— 太阳活动周趋势预测阶段性报告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SimSun"/>
        <w:sz w:val="18"/>
      </w:rPr>
      <w:t>实现方法报告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im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SimHe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