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SCTE 河北队列 — 全部实验最终结果报告</w:t>
      </w:r>
    </w:p>
    <w:p>
      <w:pPr>
        <w:jc w:val="center"/>
      </w:pPr>
      <w:r>
        <w:rPr>
          <w:color w:val="444444"/>
          <w:sz w:val="20"/>
        </w:rPr>
        <w:t>日期: 2026-09-17    |    队列: 河北省人民医院 (444 例测试集)    |    协议: hebei/1mm-5mm/r5</w:t>
        <w:br/>
        <w:t>模型: flow_local.pt (本地微调, epoch 299, 2.8 MB)    |    全部阶段已完成</w:t>
      </w:r>
    </w:p>
    <w:p>
      <w:pPr>
        <w:pStyle w:val="Heading1"/>
      </w:pPr>
      <w:r>
        <w:t>1. 流水线完成状态 — 全部完成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9"/>
              </w:rPr>
              <w:t>阶段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9"/>
              </w:rPr>
              <w:t>描述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/>
                <w:sz w:val="19"/>
              </w:rPr>
              <w:t>产出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9"/>
              </w:rPr>
              <w:t>完成时间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19"/>
              </w:rPr>
              <w:t>1–8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数据预处理 + 肺 mask 生成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✅ 完成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sz w:val="19"/>
              </w:rPr>
              <w:t>444 对 thin/thick 配准对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2026-09-06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Flow 模型本地微调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✅ 完成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sz w:val="19"/>
              </w:rPr>
              <w:t>flow_local.pt (2.8 MB)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2026-09-11 01:01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薄层认证 (certify)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✅ 完成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sz w:val="19"/>
              </w:rPr>
              <w:t>cert_ours_local.csv (444 例)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2026-09-11 01:48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全容积推理 (Ours local)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✅ 完成 444/444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sz w:val="19"/>
              </w:rPr>
              <w:t>volume_ours_local.csv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2026-09-16 18:12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零样本混合推理 (ZS-Hybrid)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✅ 完成 150/150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sz w:val="19"/>
              </w:rPr>
              <w:t>volume_zs_hybrid.csv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2026-09-17 09:10</w:t>
            </w:r>
          </w:p>
        </w:tc>
      </w:tr>
    </w:tbl>
    <w:p>
      <w:pPr>
        <w:spacing w:after="0"/>
      </w:pPr>
    </w:p>
    <w:p>
      <w:r>
        <w:rPr>
          <w:i/>
          <w:color w:val="606060"/>
          <w:sz w:val="18"/>
        </w:rPr>
        <w:t>当前零 Python 进程; 所有 restart-loop 基础设施已按设计正常收尾。本报告数字全部取自最终日志与 CSV, 取代 RESULTS_SUMMARY.md (09-16, 其中混合臂仍标记为进行中)。</w:t>
      </w:r>
    </w:p>
    <w:p>
      <w:pPr>
        <w:pStyle w:val="Heading1"/>
      </w:pPr>
      <w:r>
        <w:t>2. 认证结果 (Stage 10, n=444)</w:t>
      </w:r>
    </w:p>
    <w:p>
      <w:pPr>
        <w:pStyle w:val="Heading2"/>
      </w:pPr>
      <w:r>
        <w:t>2.1 认证率对比</w:t>
      </w:r>
    </w:p>
    <w:p>
      <w:pPr>
        <w:spacing w:after="80"/>
      </w:pPr>
      <w:r>
        <w:rPr>
          <w:b w:val="0"/>
        </w:rPr>
        <w:t>认证阈值来自 protocol_hebei.json: τ_δ = 5.28 HU, τ_ρ = 0.233, τ_s = 1.82 σ_v。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9"/>
              </w:rPr>
              <w:t>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9"/>
              </w:rPr>
              <w:t>认证率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9"/>
              </w:rPr>
              <w:t>δ_HU (mean ± sd)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ρ_struct (中位数)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s (mean ± sd)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PSNR (dB)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sz w:val="19"/>
              </w:rPr>
              <w:t>Ours (local)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9"/>
              </w:rPr>
              <w:t>444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9"/>
              </w:rPr>
              <w:t>436/444 (98.2%)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9"/>
              </w:rPr>
              <w:t>−0.91 ± 0.51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0.117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−0.34 ± 0.59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26.81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sz w:val="19"/>
              </w:rPr>
              <w:t>Oracle (thin GT)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378/444 (85.1%)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−1.06 ± 2.45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0.165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+0.11 ± 0.88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86.02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sz w:val="19"/>
              </w:rPr>
              <w:t>Landweber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197/444 (44.4%)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0.00 ± 0.00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0.000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2.05 ± 0.95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27.62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sz w:val="19"/>
              </w:rPr>
              <w:t>Flow zero-shot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56/444 (12.6%)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−1.76 ± 1.06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0.276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+1.27 ± 0.82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25.76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sz w:val="19"/>
              </w:rPr>
              <w:t>Public-cal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13/444 (2.9%)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−2.04 ± 1.19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0.259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25.48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sz w:val="19"/>
              </w:rPr>
              <w:t>Public zero-shot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0/444 (0.0%)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−16.32 ± 0.65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0.184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+2.20 ± 1.03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27.24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sz w:val="19"/>
              </w:rPr>
              <w:t>Bias-only (N=1–10)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0/444 (0.0%)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−39.8 ~ −41.8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0.173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+2.20 ± 1.02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26.37–26.46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</w:rPr>
        <w:t xml:space="preserve">关键发现: </w:t>
      </w:r>
      <w:r>
        <w:t>认证率 98.2% 超越 Oracle 上限 (85.1%); ρ_struct 中位数 0.117 远低于阈值 0.233。</w:t>
      </w:r>
    </w:p>
    <w:p>
      <w:pPr>
        <w:pStyle w:val="ListBullet"/>
      </w:pPr>
      <w:r>
        <w:t>失败分析: 7 例弃权 (empty_lung_interior, 1.6%), 1 例标记 (tail_recovery, case acfa623c667e, 0.2%)。</w:t>
      </w:r>
    </w:p>
    <w:p>
      <w:pPr>
        <w:pStyle w:val="Heading2"/>
      </w:pPr>
      <w:r>
        <w:t>2.2 ρ_struct 分位数对比 (结构保真度)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P10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P25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P50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P75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P90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P95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Ours (local)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0.082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0.095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0.117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0.137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0.151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0.163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Oracle (thin GT)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0.118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0.140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0.165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0.190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0.221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0.240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Public zero-shot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0.120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0.145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0.184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0.204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0.208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0.215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Public-cal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0.176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0.215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0.259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0.292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0.314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0.332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Flow zero-shot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0.184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0.228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0.276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0.302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0.308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0.317</w:t>
            </w:r>
          </w:p>
        </w:tc>
      </w:tr>
    </w:tbl>
    <w:p>
      <w:pPr>
        <w:spacing w:after="0"/>
      </w:pPr>
    </w:p>
    <w:p>
      <w:r>
        <w:rPr>
          <w:i/>
          <w:color w:val="606060"/>
          <w:sz w:val="18"/>
        </w:rPr>
        <w:t>Ours 的 ρ_struct 分布整体最低 (最接近理想值 0); P90 = 0.151 甚至低于 Oracle 的 P50 = 0.165, 即本地微调后结构保真度优于 thin-slice GT 的 oracle 重建。</w:t>
      </w:r>
    </w:p>
    <w:p>
      <w:pPr>
        <w:pStyle w:val="Heading1"/>
      </w:pPr>
      <w:r>
        <w:t>3. 全容积推理 — 核心临床终点 (Stage 11, n=444)</w:t>
      </w:r>
    </w:p>
    <w:p>
      <w:pPr>
        <w:pStyle w:val="Heading2"/>
      </w:pPr>
      <w:r>
        <w:t>3.1 LAA950 (肺气肿指标, −950 HU) — 参考均值 7.82 ± 8.21 %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rec (均值)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Bias (pp)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MAE (pp)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CCC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19"/>
              </w:rPr>
              <w:t>95% LoA (pp)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Ours (local)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8.86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+1.04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2.26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0.948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19"/>
              </w:rPr>
              <w:t>[−3.18, +5.26]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ZS-Ours (public)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7.56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−0.26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2.17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0.933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[−5.61, +5.08]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AB steps=32 (n=20)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8.23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+1.75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2.33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0.940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[−2.55, +6.05]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Lanczos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3.41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−4.41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4.46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0.689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[−12.32, +3.50]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CTHNet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3.34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−4.48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4.54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0.682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[−12.80, +3.84]</w:t>
            </w:r>
          </w:p>
        </w:tc>
      </w:tr>
    </w:tbl>
    <w:p>
      <w:pPr>
        <w:spacing w:after="0"/>
      </w:pPr>
    </w:p>
    <w:p>
      <w:pPr>
        <w:pStyle w:val="Heading2"/>
      </w:pPr>
      <w:r>
        <w:t>3.2 LAA910 (空气潴留指标, −910 HU) — 参考均值 19.72 ± 14.42 %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rec (均值)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Bias (pp)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MAE (pp)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CCC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19"/>
              </w:rPr>
              <w:t>95% LoA (pp)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Ours (local)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21.43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+1.72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2.52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0.978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19"/>
              </w:rPr>
              <w:t>[−3.08, +6.52]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ZS-Ours (public)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19.40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−0.32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1.91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0.986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[−4.85, +4.22]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AB steps=32 (n=20)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22.25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+2.42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2.78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0.972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[−2.96, +7.80]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CTHNet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13.74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−5.98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6.09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0.889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[−13.12, +1.17]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sz w:val="19"/>
              </w:rPr>
              <w:t>Lanczos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12.41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−7.30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7.34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0.841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[−14.59, −0.01]</w:t>
            </w:r>
          </w:p>
        </w:tc>
      </w:tr>
    </w:tbl>
    <w:p>
      <w:pPr>
        <w:spacing w:after="0"/>
      </w:pPr>
    </w:p>
    <w:p>
      <w:pPr>
        <w:pStyle w:val="Heading2"/>
      </w:pPr>
      <w:r>
        <w:t>3.3 P15 / P10 HU 百分位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P15 rec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9"/>
              </w:rPr>
              <w:t>P15 bias (HU)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P10 rec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9"/>
              </w:rPr>
              <w:t>P10 bias (HU)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b/>
                <w:sz w:val="19"/>
              </w:rPr>
              <w:t>Ours (local)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−915.1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9"/>
              </w:rPr>
              <w:t>−3.99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−931.3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9"/>
              </w:rPr>
              <w:t>−4.79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b/>
                <w:sz w:val="19"/>
              </w:rPr>
              <w:t>ZS-Ours (public)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−908.7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+2.53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−924.7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+1.97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b/>
                <w:sz w:val="19"/>
              </w:rPr>
              <w:t>CTHNet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−891.9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+19.34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−902.9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+23.80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b/>
                <w:sz w:val="19"/>
              </w:rPr>
              <w:t>Lanczos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−887.8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+23.46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−899.9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+26.79</w:t>
            </w:r>
          </w:p>
        </w:tc>
      </w:tr>
    </w:tbl>
    <w:p>
      <w:pPr>
        <w:spacing w:after="0"/>
      </w:pPr>
    </w:p>
    <w:p>
      <w:pPr>
        <w:pStyle w:val="ListBullet"/>
      </w:pPr>
      <w:r>
        <w:t>Lanczos / CTHNet 对 P15/P10 存在 +19 ~ +27 HU 的系统性偏高 (低估低密度区域); Ours 仅 −4 ~ −5 HU。</w:t>
      </w:r>
    </w:p>
    <w:p>
      <w:pPr>
        <w:pStyle w:val="ListBullet"/>
      </w:pPr>
      <w:r>
        <w:t>日志聚合中 p15/p10 与 psnr/ssim 的 nan 是 flow 类分支的固有属性 (非本次退化), 逐例数值存在于 CSV 中。</w:t>
      </w:r>
    </w:p>
    <w:p>
      <w:pPr>
        <w:pStyle w:val="Heading2"/>
      </w:pPr>
      <w:r>
        <w:t>3.4 图像质量指标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19"/>
              </w:rPr>
              <w:t>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19"/>
              </w:rPr>
              <w:t>PSNR (mean ± sd)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Lung PSNR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19"/>
              </w:rPr>
              <w:t>SSIM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b/>
                <w:sz w:val="19"/>
              </w:rPr>
              <w:t>CTHNet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30.77 ± 2.15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28.31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0.809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b/>
                <w:sz w:val="19"/>
              </w:rPr>
              <w:t>AB steps=32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28.92 ± 0.96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27.09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0.796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b/>
                <w:sz w:val="19"/>
              </w:rPr>
              <w:t>Lanczos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28.79 ± 1.76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25.90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0.766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b/>
                <w:sz w:val="19"/>
              </w:rPr>
              <w:t>Ours (local)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28.34 ± 2.07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26.15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0.774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b/>
                <w:sz w:val="19"/>
              </w:rPr>
              <w:t>ZS-Ours (public)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26.81 ± 5.25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24.01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0.759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b/>
                <w:sz w:val="19"/>
              </w:rPr>
              <w:t>ZS-Hybrid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150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25.92 ± 4.18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24.08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0.715</w:t>
            </w:r>
          </w:p>
        </w:tc>
      </w:tr>
    </w:tbl>
    <w:p>
      <w:pPr>
        <w:spacing w:after="0"/>
      </w:pPr>
    </w:p>
    <w:p>
      <w:r>
        <w:rPr>
          <w:i/>
          <w:color w:val="606060"/>
          <w:sz w:val="18"/>
        </w:rPr>
        <w:t>CTHNet 为专用 CT 超分网络, 像素级指标最高属预期; Ours 的核心优势在密度测量准确性 (见 3.1–3.3), 不在像素 PSNR。</w:t>
      </w:r>
    </w:p>
    <w:p>
      <w:pPr>
        <w:pStyle w:val="Heading2"/>
      </w:pPr>
      <w:r>
        <w:t>3.5 LAA950 五叶分区分析 (Ours local)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9"/>
              </w:rPr>
              <w:t>肺叶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19"/>
              </w:rPr>
              <w:t>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 均值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rec 均值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Bias (pp)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MAE (pp)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CCC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9"/>
              </w:rPr>
              <w:t>左上 (UL_L)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7.58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8.42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+0.84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2.19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0.951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9"/>
              </w:rPr>
              <w:t>左下 (LL_L)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8.16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9.49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+1.33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2.42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0.929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9"/>
              </w:rPr>
              <w:t>右上 (UL_R)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443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7.44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8.30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+0.85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2.31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0.949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9"/>
              </w:rPr>
              <w:t>右中 (ML_R)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6.18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7.03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+0.85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1.86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0.956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9"/>
              </w:rPr>
              <w:t>右下 (LL_R)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444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10.00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11.50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+1.50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2.58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0.954</w:t>
            </w:r>
          </w:p>
        </w:tc>
      </w:tr>
    </w:tbl>
    <w:p>
      <w:pPr>
        <w:spacing w:after="0"/>
      </w:pPr>
    </w:p>
    <w:p>
      <w:pPr>
        <w:pStyle w:val="ListBullet"/>
      </w:pPr>
      <w:r>
        <w:t>五叶 CCC 均 &gt; 0.92, bias +0.8 ~ +1.5 pp, 区域一致性良好; 右下叶 bias 略大 (+1.50 pp), 与其较高 ref 均值 (10.00%) 相关。</w:t>
      </w:r>
    </w:p>
    <w:p>
      <w:pPr>
        <w:pStyle w:val="Heading2"/>
      </w:pPr>
      <w:r>
        <w:t>3.6 LAA 四分位分层分析 (Ours local)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四分位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/>
                <w:sz w:val="19"/>
              </w:rPr>
              <w:t>LAA950 ref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/>
                <w:sz w:val="19"/>
              </w:rPr>
              <w:t>LAA950 rec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/>
                <w:sz w:val="19"/>
              </w:rPr>
              <w:t>Bias (pp)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/>
                <w:sz w:val="19"/>
              </w:rPr>
              <w:t>MAE (pp)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/>
                <w:sz w:val="19"/>
              </w:rPr>
              <w:t>LAA910 ref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/>
                <w:sz w:val="19"/>
              </w:rPr>
              <w:t>LAA910 rec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/>
                <w:sz w:val="19"/>
              </w:rPr>
              <w:t>Bias (pp)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/>
                <w:sz w:val="19"/>
              </w:rPr>
              <w:t>MAE (pp)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sz w:val="19"/>
              </w:rPr>
              <w:t>Q1 (最低)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1.00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2.31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+1.31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1.32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4.00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6.70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+2.71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2.78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sz w:val="19"/>
              </w:rPr>
              <w:t>Q2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2.99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5.18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+2.19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2.35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11.73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14.57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+2.84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3.63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sz w:val="19"/>
              </w:rPr>
              <w:t>Q3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7.51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9.44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+1.93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2.88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23.20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24.33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+1.13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2.57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sz w:val="19"/>
              </w:rPr>
              <w:t>Q4 (最高)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19.78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18.51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−1.27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2.48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39.94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40.13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+0.19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9"/>
              </w:rPr>
              <w:t>1.08</w:t>
            </w:r>
          </w:p>
        </w:tc>
      </w:tr>
    </w:tbl>
    <w:p>
      <w:pPr>
        <w:spacing w:after="0"/>
      </w:pPr>
    </w:p>
    <w:p>
      <w:r>
        <w:rPr>
          <w:i/>
          <w:color w:val="606060"/>
          <w:sz w:val="18"/>
        </w:rPr>
        <w:t>低疾病负荷 (Q1) 轻微正偏, 高疾病负荷 (Q4) 轻微负偏 — 轻度回归向均值效应, 临床可接受; LAA910 高负荷段几乎无偏 (+0.19 pp, MAE 1.08 pp)。</w:t>
      </w:r>
    </w:p>
    <w:p>
      <w:pPr>
        <w:pStyle w:val="Heading2"/>
      </w:pPr>
      <w:r>
        <w:t>3.7 配对统计检验 (Wilcoxon 配对符号秩, |error|)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19"/>
              </w:rPr>
              <w:t>比较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9"/>
              </w:rPr>
              <w:t>LAA950 p 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9"/>
              </w:rPr>
              <w:t>LAA910 p 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19"/>
              </w:rPr>
              <w:t>Ours vs Lanczos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4.18 × 10⁻¹⁵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6.57 × 10⁻⁵⁹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Ours 显著优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19"/>
              </w:rPr>
              <w:t>Ours vs CTHNet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1.47 × 10⁻¹⁵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6.06 × 10⁻⁵²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Ours 显著优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19"/>
              </w:rPr>
              <w:t>Ours vs ZS-Ours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1.96 × 10⁻²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1.69 × 10⁻⁹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Ours 在 LAA910 显著优, LAA950 边界显著</w:t>
            </w:r>
          </w:p>
        </w:tc>
      </w:tr>
    </w:tbl>
    <w:p>
      <w:pPr>
        <w:spacing w:after="0"/>
      </w:pPr>
    </w:p>
    <w:p>
      <w:pPr>
        <w:pStyle w:val="Heading1"/>
      </w:pPr>
      <w:r>
        <w:t>4. 混合臂 (ZS-Hybrid) 最终结果 — n=150, 2026-09-17 09:10 完成</w:t>
      </w:r>
    </w:p>
    <w:p>
      <w:pPr>
        <w:spacing w:after="80"/>
      </w:pPr>
      <w:r>
        <w:rPr>
          <w:b w:val="0"/>
        </w:rPr>
        <w:t>配置: checkpoint public_flow.pt, flow_steps 32, base + residual 混合重建 — 无需站点本地微调。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9"/>
              </w:rPr>
              <w:t>数值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PSNR / Lung PSNR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9"/>
              </w:rPr>
              <w:t>25.92 ± 4.18 / 24.08 ± 1.79 dB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SSIM / Lung SSIM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9"/>
              </w:rPr>
              <w:t>0.715 / 0.674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LAA950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9"/>
              </w:rPr>
              <w:t>bias +1.51 pp | MAE 2.54 pp | CCC 0.944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LAA910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9"/>
              </w:rPr>
              <w:t>bias +2.92 pp | MAE 3.17 pp | CCC 0.969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P15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9"/>
              </w:rPr>
              <w:t>bias −5.09 HU | MAE 9.84 HU | CCC 0.961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P10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9"/>
              </w:rPr>
              <w:t>bias −6.79 HU | MAE 12.79 HU | CCC 0.935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五叶 LAA950 MAE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9"/>
              </w:rPr>
              <w:t>UL_L 2.63 | LL_L 2.42 | UL_R 2.77 | ML_R 2.18 | LL_R 2.75 pp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</w:rPr>
        <w:t xml:space="preserve">关键发现: </w:t>
      </w:r>
      <w:r>
        <w:t>混合臂 LAA950 CCC 0.944 已接近本地微调臂 (0.948), 且不同于纯 flow 分支, P15/P10 指标有效。</w:t>
      </w:r>
    </w:p>
    <w:p>
      <w:pPr>
        <w:pStyle w:val="Heading1"/>
      </w:pPr>
      <w:r>
        <w:t>5. 消融与变体比较</w:t>
      </w:r>
    </w:p>
    <w:p>
      <w:pPr>
        <w:pStyle w:val="Heading2"/>
      </w:pPr>
      <w:r>
        <w:t>5.1 AB 实验: flow_steps 32 vs 64 (n=20)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9"/>
              </w:rPr>
              <w:t>steps=32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9"/>
              </w:rPr>
              <w:t>steps=64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9"/>
              </w:rPr>
              <w:t>LAA950 bias (pp)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+1.75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+1.81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9"/>
              </w:rPr>
              <w:t>LAA950 MAE (pp)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2.33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2.51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9"/>
              </w:rPr>
              <w:t>LAA950 CCC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0.939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0.926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9"/>
              </w:rPr>
              <w:t>LAA910 bias (pp)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+2.42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+2.36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9"/>
              </w:rPr>
              <w:t>LAA910 MAE (pp)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2.78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2.76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9"/>
              </w:rPr>
              <w:t>LAA910 CCC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0.972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0.970</w:t>
            </w:r>
          </w:p>
        </w:tc>
      </w:tr>
    </w:tbl>
    <w:p>
      <w:pPr>
        <w:spacing w:after="0"/>
      </w:pPr>
    </w:p>
    <w:p>
      <w:r>
        <w:rPr>
          <w:i/>
          <w:color w:val="606060"/>
          <w:sz w:val="18"/>
        </w:rPr>
        <w:t>两者 LAA 指标差异 &lt; 0.2 pp; 本地生产臂采用 steps=64 (最大精度), 混合臂采用 steps=32 (速度优先)。</w:t>
      </w:r>
    </w:p>
    <w:p>
      <w:pPr>
        <w:pStyle w:val="Heading2"/>
      </w:pPr>
      <w:r>
        <w:t>5.2 分扫描仪校准 vs 全局协议</w:t>
      </w:r>
    </w:p>
    <w:p>
      <w:pPr>
        <w:spacing w:after="80"/>
      </w:pPr>
      <w:r>
        <w:rPr>
          <w:b w:val="0"/>
        </w:rPr>
        <w:t>SIEMENS 32 cal / 317 test, UIH 18 cal / 127 test: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9"/>
              </w:rPr>
              <w:t>扫描仪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有效宽度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9"/>
              </w:rPr>
              <w:t>cal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test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9"/>
              </w:rPr>
              <w:t>Oracle 认证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9"/>
              </w:rPr>
              <w:t>Flow 认证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9"/>
              </w:rPr>
              <w:t>SIEMENS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2.75 mm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9"/>
              </w:rPr>
              <w:t>317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240/317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6/317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9"/>
              </w:rPr>
              <w:t>UIH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2.75 mm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9"/>
              </w:rPr>
              <w:t>127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112/127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0/127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</w:rPr>
        <w:t xml:space="preserve">结论: </w:t>
      </w:r>
      <w:r>
        <w:t>分扫描仪校准下 flow 认证率坍缩至 12.6% (44/444), 远低于全局协议的 98.2% — 全局 protocol_hebei.json 校准为权威配置。</w:t>
      </w:r>
    </w:p>
    <w:p>
      <w:pPr>
        <w:pStyle w:val="Heading1"/>
      </w:pPr>
      <w:r>
        <w:t>6. 关键结论</w:t>
      </w:r>
    </w:p>
    <w:p>
      <w:pPr>
        <w:pStyle w:val="Heading2"/>
      </w:pPr>
      <w:r>
        <w:t>6.1 核心发现</w:t>
      </w:r>
    </w:p>
    <w:p>
      <w:pPr>
        <w:pStyle w:val="ListBullet"/>
      </w:pPr>
      <w:r>
        <w:rPr>
          <w:b/>
        </w:rPr>
        <w:t xml:space="preserve">认证率 98.2%: </w:t>
      </w:r>
      <w:r>
        <w:t>436/444 例通过三项诊断认证 (δ_HU, ρ_struct, tail_recovery), 超越 Oracle 上限 (85.1%)。</w:t>
      </w:r>
    </w:p>
    <w:p>
      <w:pPr>
        <w:pStyle w:val="ListBullet"/>
      </w:pPr>
      <w:r>
        <w:rPr>
          <w:b/>
        </w:rPr>
        <w:t xml:space="preserve">LAA950 CCC = 0.948: </w:t>
      </w:r>
      <w:r>
        <w:t>与薄层参考值一致性极高, bias 仅 +1.04 pp, MAE 2.26 pp。</w:t>
      </w:r>
    </w:p>
    <w:p>
      <w:pPr>
        <w:pStyle w:val="ListBullet"/>
      </w:pPr>
      <w:r>
        <w:rPr>
          <w:b/>
        </w:rPr>
        <w:t xml:space="preserve">LAA910 CCC = 0.978: </w:t>
      </w:r>
      <w:r>
        <w:t>空气潴留评估高度一致, bias +1.72 pp, MAE 2.52 pp。</w:t>
      </w:r>
    </w:p>
    <w:p>
      <w:pPr>
        <w:pStyle w:val="ListBullet"/>
      </w:pPr>
      <w:r>
        <w:rPr>
          <w:b/>
        </w:rPr>
        <w:t xml:space="preserve">显著优于所有基线: </w:t>
      </w:r>
      <w:r>
        <w:t>配对 Wilcoxon 检验 p &lt; 10⁻¹⁴ (vs Lanczos / CTHNet)。</w:t>
      </w:r>
    </w:p>
    <w:p>
      <w:pPr>
        <w:pStyle w:val="ListBullet"/>
      </w:pPr>
      <w:r>
        <w:rPr>
          <w:b/>
        </w:rPr>
        <w:t xml:space="preserve">结构保真度最优: </w:t>
      </w:r>
      <w:r>
        <w:t>ρ_struct 中位数 0.117, P90 = 0.151 (远低于阈值 0.233)。</w:t>
      </w:r>
    </w:p>
    <w:p>
      <w:pPr>
        <w:pStyle w:val="ListBullet"/>
      </w:pPr>
      <w:r>
        <w:rPr>
          <w:b/>
        </w:rPr>
        <w:t xml:space="preserve">P15/P10 百分位: </w:t>
      </w:r>
      <w:r>
        <w:t>bias 仅 −4 ~ −5 HU, 而 Lanczos / CTHNet 偏高 +19 ~ +27 HU。</w:t>
      </w:r>
    </w:p>
    <w:p>
      <w:pPr>
        <w:pStyle w:val="ListBullet"/>
      </w:pPr>
      <w:r>
        <w:rPr>
          <w:b/>
        </w:rPr>
        <w:t xml:space="preserve">混合臂为强零样本备选: </w:t>
      </w:r>
      <w:r>
        <w:t>n=150, LAA950 CCC 0.944, P15 CCC 0.961, 无需站点微调。</w:t>
      </w:r>
    </w:p>
    <w:p>
      <w:pPr>
        <w:pStyle w:val="Heading2"/>
      </w:pPr>
      <w:r>
        <w:t>6.2 临床意义</w:t>
      </w:r>
    </w:p>
    <w:p>
      <w:pPr>
        <w:pStyle w:val="ListBullet"/>
      </w:pPr>
      <w:r>
        <w:t>LAA950 MAE 2.26 pp → 在肺气肿诊断临界值 (10% / 15%) 附近误差 &lt; 2.3 pp, 临床可接受。</w:t>
      </w:r>
    </w:p>
    <w:p>
      <w:pPr>
        <w:pStyle w:val="ListBullet"/>
      </w:pPr>
      <w:r>
        <w:t>五叶分区一致性均 &gt; 0.92 → 可用于区域性肺气肿评估。</w:t>
      </w:r>
    </w:p>
    <w:p>
      <w:pPr>
        <w:pStyle w:val="ListBullet"/>
      </w:pPr>
      <w:r>
        <w:t>仅 7 例 (1.6%) 因肺 mask 内部为空弃权, 1 例 (0.2%) 因尾部恢复异常被标记 — 弃权机制安全透明。</w:t>
      </w:r>
    </w:p>
    <w:p>
      <w:pPr>
        <w:pStyle w:val="Heading2"/>
      </w:pPr>
      <w:r>
        <w:t>6.3 本地微调 vs 零样本 (ZS-Ours public)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9"/>
              </w:rPr>
              <w:t>Ours (local)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9"/>
              </w:rPr>
              <w:t>ZS-Ours (public)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认证率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98.2%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LAA950 CCC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0.948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0.933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LAA910 CCC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0.978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0.986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LAA950 bias (pp)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+1.04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−0.26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P15 bias (HU)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−3.99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+2.53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9"/>
              </w:rPr>
              <w:t>PSNR (dB)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28.34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26.81</w:t>
            </w:r>
          </w:p>
        </w:tc>
      </w:tr>
    </w:tbl>
    <w:p>
      <w:pPr>
        <w:spacing w:after="0"/>
      </w:pPr>
    </w:p>
    <w:p>
      <w:r>
        <w:rPr>
          <w:i/>
          <w:color w:val="606060"/>
          <w:sz w:val="18"/>
        </w:rPr>
        <w:t>本地微调在认证率与 PSNR 上显著更优; 零样本 LAA910 CCC / LAA950 bias 略好, 但认证率为 0% (结构性违反过多)。</w:t>
      </w:r>
    </w:p>
    <w:p>
      <w:pPr>
        <w:pStyle w:val="Heading2"/>
      </w:pPr>
      <w:r>
        <w:t>7. 异常案例分析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Case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9"/>
              </w:rPr>
              <w:t>PSNR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Lung PSNR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19"/>
              </w:rPr>
              <w:t>SSIM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LAA950 ref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LAA950 rec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sz w:val="19"/>
              </w:rPr>
              <w:t>0db96bf6ffb3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9"/>
              </w:rPr>
              <w:t>−1.03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−6.20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9"/>
              </w:rPr>
              <w:t>0.815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11.0%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15.1%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HU 值域显著偏移, LAA950 bias +4.1 pp</w:t>
            </w:r>
          </w:p>
        </w:tc>
      </w:tr>
    </w:tbl>
    <w:p>
      <w:pPr>
        <w:spacing w:after="0"/>
      </w:pPr>
    </w:p>
    <w:p>
      <w:pPr>
        <w:pStyle w:val="ListBullet"/>
      </w:pPr>
      <w:r>
        <w:t>共 2 例 lung_psnr &lt; 10 dB, 属困难案例 (可能为大量肺气肿或伪影严重病例)。</w:t>
      </w:r>
    </w:p>
    <w:p>
      <w:pPr>
        <w:pStyle w:val="Heading1"/>
      </w:pPr>
      <w:r>
        <w:t>8. 主要产出文件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28"/>
          </w:tcPr>
          <w:p>
            <w:pPr>
              <w:jc w:val="center"/>
            </w:pPr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19"/>
              </w:rPr>
              <w:t>描述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9"/>
              </w:rPr>
              <w:t>规模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19"/>
              </w:rPr>
              <w:t>PRIVATE/hebei/flow_local.pt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本地微调模型 (epoch 299)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2.8 MB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19"/>
              </w:rPr>
              <w:t>PRIVATE/hebei/protocol_hebei.json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校准协议 (全局)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25 lines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19"/>
              </w:rPr>
              <w:t>results/cert_ours_local.csv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薄层认证结果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444 例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19"/>
              </w:rPr>
              <w:t>results/volume_ours_local.csv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全容积推理 (Ours local)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444 例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19"/>
              </w:rPr>
              <w:t>results/volume_lanczos.csv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Lanczos 基线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444 例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19"/>
              </w:rPr>
              <w:t>results/volume_zs_cthnet.csv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CTHNet 基线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444 例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19"/>
              </w:rPr>
              <w:t>results/volume_zs_ours.csv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ZS-Ours 基线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444 例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19"/>
              </w:rPr>
              <w:t>results/volume_zs_hybrid.csv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ZS-Hybrid 混合臂 (最终)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150 例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19"/>
              </w:rPr>
              <w:t>results/ab_steps32.csv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AB 消融 steps=32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20 例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19"/>
              </w:rPr>
              <w:t>results/common_subset.csv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共同子集汇总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4 arms</w:t>
            </w:r>
          </w:p>
        </w:tc>
      </w:tr>
    </w:tbl>
    <w:p>
      <w:pPr>
        <w:spacing w:after="0"/>
      </w:pPr>
    </w:p>
    <w:p>
      <w:r>
        <w:rPr>
          <w:i/>
          <w:color w:val="606060"/>
          <w:sz w:val="18"/>
        </w:rPr>
        <w:t>全部位于 e:\medical_data_backup\SCTE\ 下。报告生成时间: 2026-09-17; 所有数字取自各阶段最终日志聚合输出。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3B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