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74.61%</w:t>
            </w:r>
          </w:p>
        </w:tc>
        <w:tc>
          <w:tcPr>
            <w:tcW w:type="dxa" w:w="1080"/>
          </w:tcPr>
          <w:p>
            <w:r>
              <w:t>16.44%</w:t>
            </w:r>
          </w:p>
        </w:tc>
        <w:tc>
          <w:tcPr>
            <w:tcW w:type="dxa" w:w="1080"/>
          </w:tcPr>
          <w:p>
            <w:r>
              <w:t>44.15%</w:t>
            </w:r>
          </w:p>
        </w:tc>
        <w:tc>
          <w:tcPr>
            <w:tcW w:type="dxa" w:w="1080"/>
          </w:tcPr>
          <w:p>
            <w:r>
              <w:t>30.30%</w:t>
            </w:r>
          </w:p>
        </w:tc>
        <w:tc>
          <w:tcPr>
            <w:tcW w:type="dxa" w:w="1080"/>
          </w:tcPr>
          <w:p>
            <w:r>
              <w:t>+44.31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203.57%</w:t>
            </w:r>
          </w:p>
        </w:tc>
        <w:tc>
          <w:tcPr>
            <w:tcW w:type="dxa" w:w="1080"/>
          </w:tcPr>
          <w:p>
            <w:r>
              <w:t>65.67%</w:t>
            </w:r>
          </w:p>
        </w:tc>
        <w:tc>
          <w:tcPr>
            <w:tcW w:type="dxa" w:w="1080"/>
          </w:tcPr>
          <w:p>
            <w:r>
              <w:t>82.13%</w:t>
            </w:r>
          </w:p>
        </w:tc>
        <w:tc>
          <w:tcPr>
            <w:tcW w:type="dxa" w:w="1080"/>
          </w:tcPr>
          <w:p>
            <w:r>
              <w:t>73.90%</w:t>
            </w:r>
          </w:p>
        </w:tc>
        <w:tc>
          <w:tcPr>
            <w:tcW w:type="dxa" w:w="1080"/>
          </w:tcPr>
          <w:p>
            <w:r>
              <w:t>+129.68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1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1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