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83.68%</w:t>
            </w:r>
          </w:p>
        </w:tc>
        <w:tc>
          <w:tcPr>
            <w:tcW w:type="dxa" w:w="1080"/>
          </w:tcPr>
          <w:p>
            <w:r>
              <w:t>22.49%</w:t>
            </w:r>
          </w:p>
        </w:tc>
        <w:tc>
          <w:tcPr>
            <w:tcW w:type="dxa" w:w="1080"/>
          </w:tcPr>
          <w:p>
            <w:r>
              <w:t>40.17%</w:t>
            </w:r>
          </w:p>
        </w:tc>
        <w:tc>
          <w:tcPr>
            <w:tcW w:type="dxa" w:w="1080"/>
          </w:tcPr>
          <w:p>
            <w:r>
              <w:t>31.33%</w:t>
            </w:r>
          </w:p>
        </w:tc>
        <w:tc>
          <w:tcPr>
            <w:tcW w:type="dxa" w:w="1080"/>
          </w:tcPr>
          <w:p>
            <w:r>
              <w:t>+52.35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218.81%</w:t>
            </w:r>
          </w:p>
        </w:tc>
        <w:tc>
          <w:tcPr>
            <w:tcW w:type="dxa" w:w="1080"/>
          </w:tcPr>
          <w:p>
            <w:r>
              <w:t>73.98%</w:t>
            </w:r>
          </w:p>
        </w:tc>
        <w:tc>
          <w:tcPr>
            <w:tcW w:type="dxa" w:w="1080"/>
          </w:tcPr>
          <w:p>
            <w:r>
              <w:t>73.67%</w:t>
            </w:r>
          </w:p>
        </w:tc>
        <w:tc>
          <w:tcPr>
            <w:tcW w:type="dxa" w:w="1080"/>
          </w:tcPr>
          <w:p>
            <w:r>
              <w:t>73.83%</w:t>
            </w:r>
          </w:p>
        </w:tc>
        <w:tc>
          <w:tcPr>
            <w:tcW w:type="dxa" w:w="1080"/>
          </w:tcPr>
          <w:p>
            <w:r>
              <w:t>+144.99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2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2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