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82.43%</w:t>
            </w:r>
          </w:p>
        </w:tc>
        <w:tc>
          <w:tcPr>
            <w:tcW w:type="dxa" w:w="1080"/>
          </w:tcPr>
          <w:p>
            <w:r>
              <w:t>21.66%</w:t>
            </w:r>
          </w:p>
        </w:tc>
        <w:tc>
          <w:tcPr>
            <w:tcW w:type="dxa" w:w="1080"/>
          </w:tcPr>
          <w:p>
            <w:r>
              <w:t>38.07%</w:t>
            </w:r>
          </w:p>
        </w:tc>
        <w:tc>
          <w:tcPr>
            <w:tcW w:type="dxa" w:w="1080"/>
          </w:tcPr>
          <w:p>
            <w:r>
              <w:t>29.86%</w:t>
            </w:r>
          </w:p>
        </w:tc>
        <w:tc>
          <w:tcPr>
            <w:tcW w:type="dxa" w:w="1080"/>
          </w:tcPr>
          <w:p>
            <w:r>
              <w:t>+52.57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217.93%</w:t>
            </w:r>
          </w:p>
        </w:tc>
        <w:tc>
          <w:tcPr>
            <w:tcW w:type="dxa" w:w="1080"/>
          </w:tcPr>
          <w:p>
            <w:r>
              <w:t>73.50%</w:t>
            </w:r>
          </w:p>
        </w:tc>
        <w:tc>
          <w:tcPr>
            <w:tcW w:type="dxa" w:w="1080"/>
          </w:tcPr>
          <w:p>
            <w:r>
              <w:t>66.14%</w:t>
            </w:r>
          </w:p>
        </w:tc>
        <w:tc>
          <w:tcPr>
            <w:tcW w:type="dxa" w:w="1080"/>
          </w:tcPr>
          <w:p>
            <w:r>
              <w:t>69.82%</w:t>
            </w:r>
          </w:p>
        </w:tc>
        <w:tc>
          <w:tcPr>
            <w:tcW w:type="dxa" w:w="1080"/>
          </w:tcPr>
          <w:p>
            <w:r>
              <w:t>+148.11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5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5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