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85.81%</w:t>
            </w:r>
          </w:p>
        </w:tc>
        <w:tc>
          <w:tcPr>
            <w:tcW w:type="dxa" w:w="1080"/>
          </w:tcPr>
          <w:p>
            <w:r>
              <w:t>23.91%</w:t>
            </w:r>
          </w:p>
        </w:tc>
        <w:tc>
          <w:tcPr>
            <w:tcW w:type="dxa" w:w="1080"/>
          </w:tcPr>
          <w:p>
            <w:r>
              <w:t>36.46%</w:t>
            </w:r>
          </w:p>
        </w:tc>
        <w:tc>
          <w:tcPr>
            <w:tcW w:type="dxa" w:w="1080"/>
          </w:tcPr>
          <w:p>
            <w:r>
              <w:t>30.19%</w:t>
            </w:r>
          </w:p>
        </w:tc>
        <w:tc>
          <w:tcPr>
            <w:tcW w:type="dxa" w:w="1080"/>
          </w:tcPr>
          <w:p>
            <w:r>
              <w:t>+55.62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223.89%</w:t>
            </w:r>
          </w:p>
        </w:tc>
        <w:tc>
          <w:tcPr>
            <w:tcW w:type="dxa" w:w="1080"/>
          </w:tcPr>
          <w:p>
            <w:r>
              <w:t>76.75%</w:t>
            </w:r>
          </w:p>
        </w:tc>
        <w:tc>
          <w:tcPr>
            <w:tcW w:type="dxa" w:w="1080"/>
          </w:tcPr>
          <w:p>
            <w:r>
              <w:t>67.61%</w:t>
            </w:r>
          </w:p>
        </w:tc>
        <w:tc>
          <w:tcPr>
            <w:tcW w:type="dxa" w:w="1080"/>
          </w:tcPr>
          <w:p>
            <w:r>
              <w:t>72.18%</w:t>
            </w:r>
          </w:p>
        </w:tc>
        <w:tc>
          <w:tcPr>
            <w:tcW w:type="dxa" w:w="1080"/>
          </w:tcPr>
          <w:p>
            <w:r>
              <w:t>+151.70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2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2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