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85.48%</w:t>
            </w:r>
          </w:p>
        </w:tc>
        <w:tc>
          <w:tcPr>
            <w:tcW w:type="dxa" w:w="1080"/>
          </w:tcPr>
          <w:p>
            <w:r>
              <w:t>23.69%</w:t>
            </w:r>
          </w:p>
        </w:tc>
        <w:tc>
          <w:tcPr>
            <w:tcW w:type="dxa" w:w="1080"/>
          </w:tcPr>
          <w:p>
            <w:r>
              <w:t>35.61%</w:t>
            </w:r>
          </w:p>
        </w:tc>
        <w:tc>
          <w:tcPr>
            <w:tcW w:type="dxa" w:w="1080"/>
          </w:tcPr>
          <w:p>
            <w:r>
              <w:t>29.65%</w:t>
            </w:r>
          </w:p>
        </w:tc>
        <w:tc>
          <w:tcPr>
            <w:tcW w:type="dxa" w:w="1080"/>
          </w:tcPr>
          <w:p>
            <w:r>
              <w:t>+55.83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219.33%</w:t>
            </w:r>
          </w:p>
        </w:tc>
        <w:tc>
          <w:tcPr>
            <w:tcW w:type="dxa" w:w="1080"/>
          </w:tcPr>
          <w:p>
            <w:r>
              <w:t>74.26%</w:t>
            </w:r>
          </w:p>
        </w:tc>
        <w:tc>
          <w:tcPr>
            <w:tcW w:type="dxa" w:w="1080"/>
          </w:tcPr>
          <w:p>
            <w:r>
              <w:t>65.34%</w:t>
            </w:r>
          </w:p>
        </w:tc>
        <w:tc>
          <w:tcPr>
            <w:tcW w:type="dxa" w:w="1080"/>
          </w:tcPr>
          <w:p>
            <w:r>
              <w:t>69.80%</w:t>
            </w:r>
          </w:p>
        </w:tc>
        <w:tc>
          <w:tcPr>
            <w:tcW w:type="dxa" w:w="1080"/>
          </w:tcPr>
          <w:p>
            <w:r>
              <w:t>+149.52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5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5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