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85.27%</w:t>
            </w:r>
          </w:p>
        </w:tc>
        <w:tc>
          <w:tcPr>
            <w:tcW w:type="dxa" w:w="1080"/>
          </w:tcPr>
          <w:p>
            <w:r>
              <w:t>23.55%</w:t>
            </w:r>
          </w:p>
        </w:tc>
        <w:tc>
          <w:tcPr>
            <w:tcW w:type="dxa" w:w="1080"/>
          </w:tcPr>
          <w:p>
            <w:r>
              <w:t>36.74%</w:t>
            </w:r>
          </w:p>
        </w:tc>
        <w:tc>
          <w:tcPr>
            <w:tcW w:type="dxa" w:w="1080"/>
          </w:tcPr>
          <w:p>
            <w:r>
              <w:t>30.15%</w:t>
            </w:r>
          </w:p>
        </w:tc>
        <w:tc>
          <w:tcPr>
            <w:tcW w:type="dxa" w:w="1080"/>
          </w:tcPr>
          <w:p>
            <w:r>
              <w:t>+55.12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220.83%</w:t>
            </w:r>
          </w:p>
        </w:tc>
        <w:tc>
          <w:tcPr>
            <w:tcW w:type="dxa" w:w="1080"/>
          </w:tcPr>
          <w:p>
            <w:r>
              <w:t>75.08%</w:t>
            </w:r>
          </w:p>
        </w:tc>
        <w:tc>
          <w:tcPr>
            <w:tcW w:type="dxa" w:w="1080"/>
          </w:tcPr>
          <w:p>
            <w:r>
              <w:t>68.49%</w:t>
            </w:r>
          </w:p>
        </w:tc>
        <w:tc>
          <w:tcPr>
            <w:tcW w:type="dxa" w:w="1080"/>
          </w:tcPr>
          <w:p>
            <w:r>
              <w:t>71.78%</w:t>
            </w:r>
          </w:p>
        </w:tc>
        <w:tc>
          <w:tcPr>
            <w:tcW w:type="dxa" w:w="1080"/>
          </w:tcPr>
          <w:p>
            <w:r>
              <w:t>+149.04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3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3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