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86.04%</w:t>
            </w:r>
          </w:p>
        </w:tc>
        <w:tc>
          <w:tcPr>
            <w:tcW w:type="dxa" w:w="1080"/>
          </w:tcPr>
          <w:p>
            <w:r>
              <w:t>24.07%</w:t>
            </w:r>
          </w:p>
        </w:tc>
        <w:tc>
          <w:tcPr>
            <w:tcW w:type="dxa" w:w="1080"/>
          </w:tcPr>
          <w:p>
            <w:r>
              <w:t>36.08%</w:t>
            </w:r>
          </w:p>
        </w:tc>
        <w:tc>
          <w:tcPr>
            <w:tcW w:type="dxa" w:w="1080"/>
          </w:tcPr>
          <w:p>
            <w:r>
              <w:t>30.07%</w:t>
            </w:r>
          </w:p>
        </w:tc>
        <w:tc>
          <w:tcPr>
            <w:tcW w:type="dxa" w:w="1080"/>
          </w:tcPr>
          <w:p>
            <w:r>
              <w:t>+55.97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215.91%</w:t>
            </w:r>
          </w:p>
        </w:tc>
        <w:tc>
          <w:tcPr>
            <w:tcW w:type="dxa" w:w="1080"/>
          </w:tcPr>
          <w:p>
            <w:r>
              <w:t>72.40%</w:t>
            </w:r>
          </w:p>
        </w:tc>
        <w:tc>
          <w:tcPr>
            <w:tcW w:type="dxa" w:w="1080"/>
          </w:tcPr>
          <w:p>
            <w:r>
              <w:t>64.07%</w:t>
            </w:r>
          </w:p>
        </w:tc>
        <w:tc>
          <w:tcPr>
            <w:tcW w:type="dxa" w:w="1080"/>
          </w:tcPr>
          <w:p>
            <w:r>
              <w:t>68.23%</w:t>
            </w:r>
          </w:p>
        </w:tc>
        <w:tc>
          <w:tcPr>
            <w:tcW w:type="dxa" w:w="1080"/>
          </w:tcPr>
          <w:p>
            <w:r>
              <w:t>+147.67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3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