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79.06%</w:t>
            </w:r>
          </w:p>
        </w:tc>
        <w:tc>
          <w:tcPr>
            <w:tcW w:type="dxa" w:w="1080"/>
          </w:tcPr>
          <w:p>
            <w:r>
              <w:t>19.41%</w:t>
            </w:r>
          </w:p>
        </w:tc>
        <w:tc>
          <w:tcPr>
            <w:tcW w:type="dxa" w:w="1080"/>
          </w:tcPr>
          <w:p>
            <w:r>
              <w:t>40.23%</w:t>
            </w:r>
          </w:p>
        </w:tc>
        <w:tc>
          <w:tcPr>
            <w:tcW w:type="dxa" w:w="1080"/>
          </w:tcPr>
          <w:p>
            <w:r>
              <w:t>29.82%</w:t>
            </w:r>
          </w:p>
        </w:tc>
        <w:tc>
          <w:tcPr>
            <w:tcW w:type="dxa" w:w="1080"/>
          </w:tcPr>
          <w:p>
            <w:r>
              <w:t>+49.24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211.28%</w:t>
            </w:r>
          </w:p>
        </w:tc>
        <w:tc>
          <w:tcPr>
            <w:tcW w:type="dxa" w:w="1080"/>
          </w:tcPr>
          <w:p>
            <w:r>
              <w:t>69.87%</w:t>
            </w:r>
          </w:p>
        </w:tc>
        <w:tc>
          <w:tcPr>
            <w:tcW w:type="dxa" w:w="1080"/>
          </w:tcPr>
          <w:p>
            <w:r>
              <w:t>74.83%</w:t>
            </w:r>
          </w:p>
        </w:tc>
        <w:tc>
          <w:tcPr>
            <w:tcW w:type="dxa" w:w="1080"/>
          </w:tcPr>
          <w:p>
            <w:r>
              <w:t>72.35%</w:t>
            </w:r>
          </w:p>
        </w:tc>
        <w:tc>
          <w:tcPr>
            <w:tcW w:type="dxa" w:w="1080"/>
          </w:tcPr>
          <w:p>
            <w:r>
              <w:t>+138.93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2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2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