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73.21%</w:t>
            </w:r>
          </w:p>
        </w:tc>
        <w:tc>
          <w:tcPr>
            <w:tcW w:type="dxa" w:w="1080"/>
          </w:tcPr>
          <w:p>
            <w:r>
              <w:t>15.51%</w:t>
            </w:r>
          </w:p>
        </w:tc>
        <w:tc>
          <w:tcPr>
            <w:tcW w:type="dxa" w:w="1080"/>
          </w:tcPr>
          <w:p>
            <w:r>
              <w:t>47.91%</w:t>
            </w:r>
          </w:p>
        </w:tc>
        <w:tc>
          <w:tcPr>
            <w:tcW w:type="dxa" w:w="1080"/>
          </w:tcPr>
          <w:p>
            <w:r>
              <w:t>31.71%</w:t>
            </w:r>
          </w:p>
        </w:tc>
        <w:tc>
          <w:tcPr>
            <w:tcW w:type="dxa" w:w="1080"/>
          </w:tcPr>
          <w:p>
            <w:r>
              <w:t>+41.50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198.58%</w:t>
            </w:r>
          </w:p>
        </w:tc>
        <w:tc>
          <w:tcPr>
            <w:tcW w:type="dxa" w:w="1080"/>
          </w:tcPr>
          <w:p>
            <w:r>
              <w:t>62.94%</w:t>
            </w:r>
          </w:p>
        </w:tc>
        <w:tc>
          <w:tcPr>
            <w:tcW w:type="dxa" w:w="1080"/>
          </w:tcPr>
          <w:p>
            <w:r>
              <w:t>85.95%</w:t>
            </w:r>
          </w:p>
        </w:tc>
        <w:tc>
          <w:tcPr>
            <w:tcW w:type="dxa" w:w="1080"/>
          </w:tcPr>
          <w:p>
            <w:r>
              <w:t>74.44%</w:t>
            </w:r>
          </w:p>
        </w:tc>
        <w:tc>
          <w:tcPr>
            <w:tcW w:type="dxa" w:w="1080"/>
          </w:tcPr>
          <w:p>
            <w:r>
              <w:t>+124.13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1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