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130.10%</w:t>
            </w:r>
          </w:p>
        </w:tc>
        <w:tc>
          <w:tcPr>
            <w:tcW w:type="dxa" w:w="1080"/>
          </w:tcPr>
          <w:p>
            <w:r>
              <w:t>27.07%</w:t>
            </w:r>
          </w:p>
        </w:tc>
        <w:tc>
          <w:tcPr>
            <w:tcW w:type="dxa" w:w="1080"/>
          </w:tcPr>
          <w:p>
            <w:r>
              <w:t>38.60%</w:t>
            </w:r>
          </w:p>
        </w:tc>
        <w:tc>
          <w:tcPr>
            <w:tcW w:type="dxa" w:w="1080"/>
          </w:tcPr>
          <w:p>
            <w:r>
              <w:t>32.84%</w:t>
            </w:r>
          </w:p>
        </w:tc>
        <w:tc>
          <w:tcPr>
            <w:tcW w:type="dxa" w:w="1080"/>
          </w:tcPr>
          <w:p>
            <w:r>
              <w:t>+97.26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226.15%</w:t>
            </w:r>
          </w:p>
        </w:tc>
        <w:tc>
          <w:tcPr>
            <w:tcW w:type="dxa" w:w="1080"/>
          </w:tcPr>
          <w:p>
            <w:r>
              <w:t>77.99%</w:t>
            </w:r>
          </w:p>
        </w:tc>
        <w:tc>
          <w:tcPr>
            <w:tcW w:type="dxa" w:w="1080"/>
          </w:tcPr>
          <w:p>
            <w:r>
              <w:t>77.20%</w:t>
            </w:r>
          </w:p>
        </w:tc>
        <w:tc>
          <w:tcPr>
            <w:tcW w:type="dxa" w:w="1080"/>
          </w:tcPr>
          <w:p>
            <w:r>
              <w:t>77.59%</w:t>
            </w:r>
          </w:p>
        </w:tc>
        <w:tc>
          <w:tcPr>
            <w:tcW w:type="dxa" w:w="1080"/>
          </w:tcPr>
          <w:p>
            <w:r>
              <w:t>+148.55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5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5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58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5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