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Historical Asymmetric Theory</w:t>
      </w:r>
    </w:p>
    <w:p>
      <w:r>
        <w:t>Directional thresholds: +11.5% for XST-&gt;XQQ and -7.0% for XQQ-&gt;XST, using symmetric delta ((XST - XQQ) / avg) * 100.</w:t>
      </w:r>
    </w:p>
    <w:p>
      <w:pPr>
        <w:pStyle w:val="Heading2"/>
      </w:pPr>
      <w:r>
        <w:t>Performance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Thresholds</w:t>
            </w:r>
          </w:p>
        </w:tc>
        <w:tc>
          <w:tcPr>
            <w:tcW w:type="dxa" w:w="1080"/>
          </w:tcPr>
          <w:p>
            <w:r>
              <w:t>Real switches</w:t>
            </w:r>
          </w:p>
        </w:tc>
        <w:tc>
          <w:tcPr>
            <w:tcW w:type="dxa" w:w="1080"/>
          </w:tcPr>
          <w:p>
            <w:r>
              <w:t>Asymmetric strategy %</w:t>
            </w:r>
          </w:p>
        </w:tc>
        <w:tc>
          <w:tcPr>
            <w:tcW w:type="dxa" w:w="1080"/>
          </w:tcPr>
          <w:p>
            <w:r>
              <w:t>Always XST %</w:t>
            </w:r>
          </w:p>
        </w:tc>
        <w:tc>
          <w:tcPr>
            <w:tcW w:type="dxa" w:w="1080"/>
          </w:tcPr>
          <w:p>
            <w:r>
              <w:t>Always XQQ %</w:t>
            </w:r>
          </w:p>
        </w:tc>
        <w:tc>
          <w:tcPr>
            <w:tcW w:type="dxa" w:w="1080"/>
          </w:tcPr>
          <w:p>
            <w:r>
              <w:t>50/50 %</w:t>
            </w:r>
          </w:p>
        </w:tc>
        <w:tc>
          <w:tcPr>
            <w:tcW w:type="dxa" w:w="1080"/>
          </w:tcPr>
          <w:p>
            <w:r>
              <w:t>Edge vs 50/50 (pp)</w:t>
            </w:r>
          </w:p>
        </w:tc>
      </w:tr>
      <w:tr>
        <w:tc>
          <w:tcPr>
            <w:tcW w:type="dxa" w:w="1080"/>
          </w:tcPr>
          <w:p>
            <w:r>
              <w:t>Last 2 years</w:t>
            </w:r>
          </w:p>
        </w:tc>
        <w:tc>
          <w:tcPr>
            <w:tcW w:type="dxa" w:w="1080"/>
          </w:tcPr>
          <w:p>
            <w:r>
              <w:t>+11.5% / -7.0%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86.75%</w:t>
            </w:r>
          </w:p>
        </w:tc>
        <w:tc>
          <w:tcPr>
            <w:tcW w:type="dxa" w:w="1080"/>
          </w:tcPr>
          <w:p>
            <w:r>
              <w:t>24.54%</w:t>
            </w:r>
          </w:p>
        </w:tc>
        <w:tc>
          <w:tcPr>
            <w:tcW w:type="dxa" w:w="1080"/>
          </w:tcPr>
          <w:p>
            <w:r>
              <w:t>36.55%</w:t>
            </w:r>
          </w:p>
        </w:tc>
        <w:tc>
          <w:tcPr>
            <w:tcW w:type="dxa" w:w="1080"/>
          </w:tcPr>
          <w:p>
            <w:r>
              <w:t>30.55%</w:t>
            </w:r>
          </w:p>
        </w:tc>
        <w:tc>
          <w:tcPr>
            <w:tcW w:type="dxa" w:w="1080"/>
          </w:tcPr>
          <w:p>
            <w:r>
              <w:t>+56.20</w:t>
            </w:r>
          </w:p>
        </w:tc>
      </w:tr>
      <w:tr>
        <w:tc>
          <w:tcPr>
            <w:tcW w:type="dxa" w:w="1080"/>
          </w:tcPr>
          <w:p>
            <w:r>
              <w:t>Last 5 years</w:t>
            </w:r>
          </w:p>
        </w:tc>
        <w:tc>
          <w:tcPr>
            <w:tcW w:type="dxa" w:w="1080"/>
          </w:tcPr>
          <w:p>
            <w:r>
              <w:t>+11.5% / -7.0%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224.31%</w:t>
            </w:r>
          </w:p>
        </w:tc>
        <w:tc>
          <w:tcPr>
            <w:tcW w:type="dxa" w:w="1080"/>
          </w:tcPr>
          <w:p>
            <w:r>
              <w:t>76.98%</w:t>
            </w:r>
          </w:p>
        </w:tc>
        <w:tc>
          <w:tcPr>
            <w:tcW w:type="dxa" w:w="1080"/>
          </w:tcPr>
          <w:p>
            <w:r>
              <w:t>68.41%</w:t>
            </w:r>
          </w:p>
        </w:tc>
        <w:tc>
          <w:tcPr>
            <w:tcW w:type="dxa" w:w="1080"/>
          </w:tcPr>
          <w:p>
            <w:r>
              <w:t>72.70%</w:t>
            </w:r>
          </w:p>
        </w:tc>
        <w:tc>
          <w:tcPr>
            <w:tcW w:type="dxa" w:w="1080"/>
          </w:tcPr>
          <w:p>
            <w:r>
              <w:t>+151.62</w:t>
            </w:r>
          </w:p>
        </w:tc>
      </w:tr>
    </w:tbl>
    <w:p>
      <w:pPr>
        <w:pStyle w:val="Heading2"/>
      </w:pPr>
      <w:r>
        <w:t>Charts</w:t>
      </w:r>
    </w:p>
    <w:p>
      <w:r>
        <w:t>Asymmetric switch signals - last 5 years</w:t>
      </w:r>
    </w:p>
    <w:p>
      <w:r>
        <w:drawing>
          <wp:inline xmlns:a="http://schemas.openxmlformats.org/drawingml/2006/main" xmlns:pic="http://schemas.openxmlformats.org/drawingml/2006/picture">
            <wp:extent cx="6217920" cy="2643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tch_signals_asym_last5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3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Asymmetric switch signals - last 2 years</w:t>
      </w:r>
    </w:p>
    <w:p>
      <w:r>
        <w:drawing>
          <wp:inline xmlns:a="http://schemas.openxmlformats.org/drawingml/2006/main" xmlns:pic="http://schemas.openxmlformats.org/drawingml/2006/picture">
            <wp:extent cx="6217920" cy="2638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tch_signals_asym_last2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Asymmetric real switches - last 5 years</w:t>
      </w:r>
    </w:p>
    <w:p>
      <w:r>
        <w:drawing>
          <wp:inline xmlns:a="http://schemas.openxmlformats.org/drawingml/2006/main" xmlns:pic="http://schemas.openxmlformats.org/drawingml/2006/picture">
            <wp:extent cx="6217920" cy="263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switches_asym_last5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Asymmetric real switches - last 2 years</w:t>
      </w:r>
    </w:p>
    <w:p>
      <w:r>
        <w:drawing>
          <wp:inline xmlns:a="http://schemas.openxmlformats.org/drawingml/2006/main" xmlns:pic="http://schemas.openxmlformats.org/drawingml/2006/picture">
            <wp:extent cx="6217920" cy="263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switches_asym_last2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Asymmetric switch duration - last 5 years</w:t>
      </w:r>
    </w:p>
    <w:p>
      <w:r>
        <w:drawing>
          <wp:inline xmlns:a="http://schemas.openxmlformats.org/drawingml/2006/main" xmlns:pic="http://schemas.openxmlformats.org/drawingml/2006/picture">
            <wp:extent cx="6217920" cy="2640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tch_duration_asym_last5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0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