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Historical Asymmetric Theory</w:t>
      </w:r>
    </w:p>
    <w:p>
      <w:r>
        <w:t>Directional thresholds: +11.5% for XST-&gt;XQQ and -7.0% for XQQ-&gt;XST, using symmetric delta ((XST - XQQ) / avg) * 100.</w:t>
      </w:r>
    </w:p>
    <w:p>
      <w:pPr>
        <w:pStyle w:val="Heading2"/>
      </w:pPr>
      <w:r>
        <w:t>Performance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Window</w:t>
            </w:r>
          </w:p>
        </w:tc>
        <w:tc>
          <w:tcPr>
            <w:tcW w:type="dxa" w:w="1440"/>
          </w:tcPr>
          <w:p>
            <w:r>
              <w:t>Thresholds</w:t>
            </w:r>
          </w:p>
        </w:tc>
        <w:tc>
          <w:tcPr>
            <w:tcW w:type="dxa" w:w="1440"/>
          </w:tcPr>
          <w:p>
            <w:r>
              <w:t>Real switches</w:t>
            </w:r>
          </w:p>
        </w:tc>
        <w:tc>
          <w:tcPr>
            <w:tcW w:type="dxa" w:w="1440"/>
          </w:tcPr>
          <w:p>
            <w:r>
              <w:t>Strategy return %</w:t>
            </w:r>
          </w:p>
        </w:tc>
        <w:tc>
          <w:tcPr>
            <w:tcW w:type="dxa" w:w="1440"/>
          </w:tcPr>
          <w:p>
            <w:r>
              <w:t>50/50 return %</w:t>
            </w:r>
          </w:p>
        </w:tc>
        <w:tc>
          <w:tcPr>
            <w:tcW w:type="dxa" w:w="1440"/>
          </w:tcPr>
          <w:p>
            <w:r>
              <w:t>Diff vs 50/50 (pp)</w:t>
            </w:r>
          </w:p>
        </w:tc>
      </w:tr>
      <w:tr>
        <w:tc>
          <w:tcPr>
            <w:tcW w:type="dxa" w:w="1440"/>
          </w:tcPr>
          <w:p>
            <w:r>
              <w:t>Last 2 years</w:t>
            </w:r>
          </w:p>
        </w:tc>
        <w:tc>
          <w:tcPr>
            <w:tcW w:type="dxa" w:w="1440"/>
          </w:tcPr>
          <w:p>
            <w:r>
              <w:t>+11.5% / -7.0%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130.10%</w:t>
            </w:r>
          </w:p>
        </w:tc>
        <w:tc>
          <w:tcPr>
            <w:tcW w:type="dxa" w:w="1440"/>
          </w:tcPr>
          <w:p>
            <w:r>
              <w:t>32.84%</w:t>
            </w:r>
          </w:p>
        </w:tc>
        <w:tc>
          <w:tcPr>
            <w:tcW w:type="dxa" w:w="1440"/>
          </w:tcPr>
          <w:p>
            <w:r>
              <w:t>+97.26</w:t>
            </w:r>
          </w:p>
        </w:tc>
      </w:tr>
      <w:tr>
        <w:tc>
          <w:tcPr>
            <w:tcW w:type="dxa" w:w="1440"/>
          </w:tcPr>
          <w:p>
            <w:r>
              <w:t>Last 5 years</w:t>
            </w:r>
          </w:p>
        </w:tc>
        <w:tc>
          <w:tcPr>
            <w:tcW w:type="dxa" w:w="1440"/>
          </w:tcPr>
          <w:p>
            <w:r>
              <w:t>+11.5% / -7.0%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226.15%</w:t>
            </w:r>
          </w:p>
        </w:tc>
        <w:tc>
          <w:tcPr>
            <w:tcW w:type="dxa" w:w="1440"/>
          </w:tcPr>
          <w:p>
            <w:r>
              <w:t>77.59%</w:t>
            </w:r>
          </w:p>
        </w:tc>
        <w:tc>
          <w:tcPr>
            <w:tcW w:type="dxa" w:w="1440"/>
          </w:tcPr>
          <w:p>
            <w:r>
              <w:t>+148.55</w:t>
            </w:r>
          </w:p>
        </w:tc>
      </w:tr>
    </w:tbl>
    <w:p>
      <w:pPr>
        <w:pStyle w:val="Heading2"/>
      </w:pPr>
      <w:r>
        <w:t>Charts</w:t>
      </w:r>
    </w:p>
    <w:p>
      <w:r>
        <w:t>Asymmetric switch signals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35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signals_asym_last5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5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switch signals - last 2 years</w:t>
      </w:r>
    </w:p>
    <w:p>
      <w:r>
        <w:drawing>
          <wp:inline xmlns:a="http://schemas.openxmlformats.org/drawingml/2006/main" xmlns:pic="http://schemas.openxmlformats.org/drawingml/2006/picture">
            <wp:extent cx="6217920" cy="26358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signals_asym_last2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5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real switches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345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witches_asym_last5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real switches - last 2 years</w:t>
      </w:r>
    </w:p>
    <w:p>
      <w:r>
        <w:drawing>
          <wp:inline xmlns:a="http://schemas.openxmlformats.org/drawingml/2006/main" xmlns:pic="http://schemas.openxmlformats.org/drawingml/2006/picture">
            <wp:extent cx="6217920" cy="26345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witches_asym_last2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switch duration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400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duration_asym_last5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4007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