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75.23%</w:t>
            </w:r>
          </w:p>
        </w:tc>
        <w:tc>
          <w:tcPr>
            <w:tcW w:type="dxa" w:w="1080"/>
          </w:tcPr>
          <w:p>
            <w:r>
              <w:t>16.86%</w:t>
            </w:r>
          </w:p>
        </w:tc>
        <w:tc>
          <w:tcPr>
            <w:tcW w:type="dxa" w:w="1080"/>
          </w:tcPr>
          <w:p>
            <w:r>
              <w:t>43.12%</w:t>
            </w:r>
          </w:p>
        </w:tc>
        <w:tc>
          <w:tcPr>
            <w:tcW w:type="dxa" w:w="1080"/>
          </w:tcPr>
          <w:p>
            <w:r>
              <w:t>29.99%</w:t>
            </w:r>
          </w:p>
        </w:tc>
        <w:tc>
          <w:tcPr>
            <w:tcW w:type="dxa" w:w="1080"/>
          </w:tcPr>
          <w:p>
            <w:r>
              <w:t>+45.24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204.79%</w:t>
            </w:r>
          </w:p>
        </w:tc>
        <w:tc>
          <w:tcPr>
            <w:tcW w:type="dxa" w:w="1080"/>
          </w:tcPr>
          <w:p>
            <w:r>
              <w:t>66.33%</w:t>
            </w:r>
          </w:p>
        </w:tc>
        <w:tc>
          <w:tcPr>
            <w:tcW w:type="dxa" w:w="1080"/>
          </w:tcPr>
          <w:p>
            <w:r>
              <w:t>81.75%</w:t>
            </w:r>
          </w:p>
        </w:tc>
        <w:tc>
          <w:tcPr>
            <w:tcW w:type="dxa" w:w="1080"/>
          </w:tcPr>
          <w:p>
            <w:r>
              <w:t>74.04%</w:t>
            </w:r>
          </w:p>
        </w:tc>
        <w:tc>
          <w:tcPr>
            <w:tcW w:type="dxa" w:w="1080"/>
          </w:tcPr>
          <w:p>
            <w:r>
              <w:t>+130.74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2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2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