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72.30%</w:t>
            </w:r>
          </w:p>
        </w:tc>
        <w:tc>
          <w:tcPr>
            <w:tcW w:type="dxa" w:w="1080"/>
          </w:tcPr>
          <w:p>
            <w:r>
              <w:t>14.90%</w:t>
            </w:r>
          </w:p>
        </w:tc>
        <w:tc>
          <w:tcPr>
            <w:tcW w:type="dxa" w:w="1080"/>
          </w:tcPr>
          <w:p>
            <w:r>
              <w:t>48.72%</w:t>
            </w:r>
          </w:p>
        </w:tc>
        <w:tc>
          <w:tcPr>
            <w:tcW w:type="dxa" w:w="1080"/>
          </w:tcPr>
          <w:p>
            <w:r>
              <w:t>31.81%</w:t>
            </w:r>
          </w:p>
        </w:tc>
        <w:tc>
          <w:tcPr>
            <w:tcW w:type="dxa" w:w="1080"/>
          </w:tcPr>
          <w:p>
            <w:r>
              <w:t>+40.49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196.55%</w:t>
            </w:r>
          </w:p>
        </w:tc>
        <w:tc>
          <w:tcPr>
            <w:tcW w:type="dxa" w:w="1080"/>
          </w:tcPr>
          <w:p>
            <w:r>
              <w:t>61.83%</w:t>
            </w:r>
          </w:p>
        </w:tc>
        <w:tc>
          <w:tcPr>
            <w:tcW w:type="dxa" w:w="1080"/>
          </w:tcPr>
          <w:p>
            <w:r>
              <w:t>85.68%</w:t>
            </w:r>
          </w:p>
        </w:tc>
        <w:tc>
          <w:tcPr>
            <w:tcW w:type="dxa" w:w="1080"/>
          </w:tcPr>
          <w:p>
            <w:r>
              <w:t>73.75%</w:t>
            </w:r>
          </w:p>
        </w:tc>
        <w:tc>
          <w:tcPr>
            <w:tcW w:type="dxa" w:w="1080"/>
          </w:tcPr>
          <w:p>
            <w:r>
              <w:t>+122.79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1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1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