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Historical Asymmetric Theory</w:t>
      </w:r>
    </w:p>
    <w:p>
      <w:r>
        <w:t>Directional thresholds: +11.5% for XST-&gt;XQQ and -7.0% for XQQ-&gt;XST, using symmetric delta ((XST - XQQ) / avg) * 100.</w:t>
      </w:r>
    </w:p>
    <w:p>
      <w:pPr>
        <w:pStyle w:val="Heading2"/>
      </w:pPr>
      <w:r>
        <w:t>Performance Summary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Window</w:t>
            </w:r>
          </w:p>
        </w:tc>
        <w:tc>
          <w:tcPr>
            <w:tcW w:type="dxa" w:w="1080"/>
          </w:tcPr>
          <w:p>
            <w:r>
              <w:t>Thresholds</w:t>
            </w:r>
          </w:p>
        </w:tc>
        <w:tc>
          <w:tcPr>
            <w:tcW w:type="dxa" w:w="1080"/>
          </w:tcPr>
          <w:p>
            <w:r>
              <w:t>Real switches</w:t>
            </w:r>
          </w:p>
        </w:tc>
        <w:tc>
          <w:tcPr>
            <w:tcW w:type="dxa" w:w="1080"/>
          </w:tcPr>
          <w:p>
            <w:r>
              <w:t>Asymmetric strategy %</w:t>
            </w:r>
          </w:p>
        </w:tc>
        <w:tc>
          <w:tcPr>
            <w:tcW w:type="dxa" w:w="1080"/>
          </w:tcPr>
          <w:p>
            <w:r>
              <w:t>Always XST %</w:t>
            </w:r>
          </w:p>
        </w:tc>
        <w:tc>
          <w:tcPr>
            <w:tcW w:type="dxa" w:w="1080"/>
          </w:tcPr>
          <w:p>
            <w:r>
              <w:t>Always XQQ %</w:t>
            </w:r>
          </w:p>
        </w:tc>
        <w:tc>
          <w:tcPr>
            <w:tcW w:type="dxa" w:w="1080"/>
          </w:tcPr>
          <w:p>
            <w:r>
              <w:t>50/50 %</w:t>
            </w:r>
          </w:p>
        </w:tc>
        <w:tc>
          <w:tcPr>
            <w:tcW w:type="dxa" w:w="1080"/>
          </w:tcPr>
          <w:p>
            <w:r>
              <w:t>Edge vs 50/50 (pp)</w:t>
            </w:r>
          </w:p>
        </w:tc>
      </w:tr>
      <w:tr>
        <w:tc>
          <w:tcPr>
            <w:tcW w:type="dxa" w:w="1080"/>
          </w:tcPr>
          <w:p>
            <w:r>
              <w:t>Last 2 years</w:t>
            </w:r>
          </w:p>
        </w:tc>
        <w:tc>
          <w:tcPr>
            <w:tcW w:type="dxa" w:w="1080"/>
          </w:tcPr>
          <w:p>
            <w:r>
              <w:t>+11.5% / -7.0%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83.88%</w:t>
            </w:r>
          </w:p>
        </w:tc>
        <w:tc>
          <w:tcPr>
            <w:tcW w:type="dxa" w:w="1080"/>
          </w:tcPr>
          <w:p>
            <w:r>
              <w:t>22.63%</w:t>
            </w:r>
          </w:p>
        </w:tc>
        <w:tc>
          <w:tcPr>
            <w:tcW w:type="dxa" w:w="1080"/>
          </w:tcPr>
          <w:p>
            <w:r>
              <w:t>37.29%</w:t>
            </w:r>
          </w:p>
        </w:tc>
        <w:tc>
          <w:tcPr>
            <w:tcW w:type="dxa" w:w="1080"/>
          </w:tcPr>
          <w:p>
            <w:r>
              <w:t>29.96%</w:t>
            </w:r>
          </w:p>
        </w:tc>
        <w:tc>
          <w:tcPr>
            <w:tcW w:type="dxa" w:w="1080"/>
          </w:tcPr>
          <w:p>
            <w:r>
              <w:t>+53.93</w:t>
            </w:r>
          </w:p>
        </w:tc>
      </w:tr>
      <w:tr>
        <w:tc>
          <w:tcPr>
            <w:tcW w:type="dxa" w:w="1080"/>
          </w:tcPr>
          <w:p>
            <w:r>
              <w:t>Last 5 years</w:t>
            </w:r>
          </w:p>
        </w:tc>
        <w:tc>
          <w:tcPr>
            <w:tcW w:type="dxa" w:w="1080"/>
          </w:tcPr>
          <w:p>
            <w:r>
              <w:t>+11.5% / -7.0%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222.24%</w:t>
            </w:r>
          </w:p>
        </w:tc>
        <w:tc>
          <w:tcPr>
            <w:tcW w:type="dxa" w:w="1080"/>
          </w:tcPr>
          <w:p>
            <w:r>
              <w:t>75.85%</w:t>
            </w:r>
          </w:p>
        </w:tc>
        <w:tc>
          <w:tcPr>
            <w:tcW w:type="dxa" w:w="1080"/>
          </w:tcPr>
          <w:p>
            <w:r>
              <w:t>66.92%</w:t>
            </w:r>
          </w:p>
        </w:tc>
        <w:tc>
          <w:tcPr>
            <w:tcW w:type="dxa" w:w="1080"/>
          </w:tcPr>
          <w:p>
            <w:r>
              <w:t>71.39%</w:t>
            </w:r>
          </w:p>
        </w:tc>
        <w:tc>
          <w:tcPr>
            <w:tcW w:type="dxa" w:w="1080"/>
          </w:tcPr>
          <w:p>
            <w:r>
              <w:t>+150.85</w:t>
            </w:r>
          </w:p>
        </w:tc>
      </w:tr>
    </w:tbl>
    <w:p>
      <w:pPr>
        <w:pStyle w:val="Heading2"/>
      </w:pPr>
      <w:r>
        <w:t>Charts</w:t>
      </w:r>
    </w:p>
    <w:p>
      <w:r>
        <w:t>Asymmetric switch signals - last 5 years</w:t>
      </w:r>
    </w:p>
    <w:p>
      <w:r>
        <w:drawing>
          <wp:inline xmlns:a="http://schemas.openxmlformats.org/drawingml/2006/main" xmlns:pic="http://schemas.openxmlformats.org/drawingml/2006/picture">
            <wp:extent cx="6217920" cy="26451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tch_signals_asym_last5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45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switch signals - last 2 years</w:t>
      </w:r>
    </w:p>
    <w:p>
      <w:r>
        <w:drawing>
          <wp:inline xmlns:a="http://schemas.openxmlformats.org/drawingml/2006/main" xmlns:pic="http://schemas.openxmlformats.org/drawingml/2006/picture">
            <wp:extent cx="6217920" cy="26388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tch_signals_asym_last2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38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real switches - last 5 years</w:t>
      </w:r>
    </w:p>
    <w:p>
      <w:r>
        <w:drawing>
          <wp:inline xmlns:a="http://schemas.openxmlformats.org/drawingml/2006/main" xmlns:pic="http://schemas.openxmlformats.org/drawingml/2006/picture">
            <wp:extent cx="6217920" cy="26345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switches_asym_last5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3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real switches - last 2 years</w:t>
      </w:r>
    </w:p>
    <w:p>
      <w:r>
        <w:drawing>
          <wp:inline xmlns:a="http://schemas.openxmlformats.org/drawingml/2006/main" xmlns:pic="http://schemas.openxmlformats.org/drawingml/2006/picture">
            <wp:extent cx="6217920" cy="26345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switches_asym_last2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3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switch duration - last 5 years</w:t>
      </w:r>
    </w:p>
    <w:p>
      <w:r>
        <w:drawing>
          <wp:inline xmlns:a="http://schemas.openxmlformats.org/drawingml/2006/main" xmlns:pic="http://schemas.openxmlformats.org/drawingml/2006/picture">
            <wp:extent cx="6217920" cy="26400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tch_duration_asym_last5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40077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