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70.28%</w:t>
            </w:r>
          </w:p>
        </w:tc>
        <w:tc>
          <w:tcPr>
            <w:tcW w:type="dxa" w:w="1080"/>
          </w:tcPr>
          <w:p>
            <w:r>
              <w:t>13.56%</w:t>
            </w:r>
          </w:p>
        </w:tc>
        <w:tc>
          <w:tcPr>
            <w:tcW w:type="dxa" w:w="1080"/>
          </w:tcPr>
          <w:p>
            <w:r>
              <w:t>45.50%</w:t>
            </w:r>
          </w:p>
        </w:tc>
        <w:tc>
          <w:tcPr>
            <w:tcW w:type="dxa" w:w="1080"/>
          </w:tcPr>
          <w:p>
            <w:r>
              <w:t>29.53%</w:t>
            </w:r>
          </w:p>
        </w:tc>
        <w:tc>
          <w:tcPr>
            <w:tcW w:type="dxa" w:w="1080"/>
          </w:tcPr>
          <w:p>
            <w:r>
              <w:t>+40.75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202.52%</w:t>
            </w:r>
          </w:p>
        </w:tc>
        <w:tc>
          <w:tcPr>
            <w:tcW w:type="dxa" w:w="1080"/>
          </w:tcPr>
          <w:p>
            <w:r>
              <w:t>65.09%</w:t>
            </w:r>
          </w:p>
        </w:tc>
        <w:tc>
          <w:tcPr>
            <w:tcW w:type="dxa" w:w="1080"/>
          </w:tcPr>
          <w:p>
            <w:r>
              <w:t>81.42%</w:t>
            </w:r>
          </w:p>
        </w:tc>
        <w:tc>
          <w:tcPr>
            <w:tcW w:type="dxa" w:w="1080"/>
          </w:tcPr>
          <w:p>
            <w:r>
              <w:t>73.25%</w:t>
            </w:r>
          </w:p>
        </w:tc>
        <w:tc>
          <w:tcPr>
            <w:tcW w:type="dxa" w:w="1080"/>
          </w:tcPr>
          <w:p>
            <w:r>
              <w:t>+129.27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