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Historical Asymmetric Theory</w:t>
      </w:r>
    </w:p>
    <w:p>
      <w:r>
        <w:t>Directional thresholds: +11.5% for XST-&gt;XQQ and -7.0% for XQQ-&gt;XST, using symmetric delta ((XST - XQQ) / avg) * 100.</w:t>
      </w:r>
    </w:p>
    <w:p>
      <w:pPr>
        <w:pStyle w:val="Heading2"/>
      </w:pPr>
      <w:r>
        <w:t>Performance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Window</w:t>
            </w:r>
          </w:p>
        </w:tc>
        <w:tc>
          <w:tcPr>
            <w:tcW w:type="dxa" w:w="1080"/>
          </w:tcPr>
          <w:p>
            <w:r>
              <w:t>Thresholds</w:t>
            </w:r>
          </w:p>
        </w:tc>
        <w:tc>
          <w:tcPr>
            <w:tcW w:type="dxa" w:w="1080"/>
          </w:tcPr>
          <w:p>
            <w:r>
              <w:t>Real switches</w:t>
            </w:r>
          </w:p>
        </w:tc>
        <w:tc>
          <w:tcPr>
            <w:tcW w:type="dxa" w:w="1080"/>
          </w:tcPr>
          <w:p>
            <w:r>
              <w:t>Asymmetric strategy %</w:t>
            </w:r>
          </w:p>
        </w:tc>
        <w:tc>
          <w:tcPr>
            <w:tcW w:type="dxa" w:w="1080"/>
          </w:tcPr>
          <w:p>
            <w:r>
              <w:t>Always XST %</w:t>
            </w:r>
          </w:p>
        </w:tc>
        <w:tc>
          <w:tcPr>
            <w:tcW w:type="dxa" w:w="1080"/>
          </w:tcPr>
          <w:p>
            <w:r>
              <w:t>Always XQQ %</w:t>
            </w:r>
          </w:p>
        </w:tc>
        <w:tc>
          <w:tcPr>
            <w:tcW w:type="dxa" w:w="1080"/>
          </w:tcPr>
          <w:p>
            <w:r>
              <w:t>50/50 %</w:t>
            </w:r>
          </w:p>
        </w:tc>
        <w:tc>
          <w:tcPr>
            <w:tcW w:type="dxa" w:w="1080"/>
          </w:tcPr>
          <w:p>
            <w:r>
              <w:t>Edge vs 50/50 (pp)</w:t>
            </w:r>
          </w:p>
        </w:tc>
      </w:tr>
      <w:tr>
        <w:tc>
          <w:tcPr>
            <w:tcW w:type="dxa" w:w="1080"/>
          </w:tcPr>
          <w:p>
            <w:r>
              <w:t>Last 2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71.57%</w:t>
            </w:r>
          </w:p>
        </w:tc>
        <w:tc>
          <w:tcPr>
            <w:tcW w:type="dxa" w:w="1080"/>
          </w:tcPr>
          <w:p>
            <w:r>
              <w:t>14.42%</w:t>
            </w:r>
          </w:p>
        </w:tc>
        <w:tc>
          <w:tcPr>
            <w:tcW w:type="dxa" w:w="1080"/>
          </w:tcPr>
          <w:p>
            <w:r>
              <w:t>46.71%</w:t>
            </w:r>
          </w:p>
        </w:tc>
        <w:tc>
          <w:tcPr>
            <w:tcW w:type="dxa" w:w="1080"/>
          </w:tcPr>
          <w:p>
            <w:r>
              <w:t>30.56%</w:t>
            </w:r>
          </w:p>
        </w:tc>
        <w:tc>
          <w:tcPr>
            <w:tcW w:type="dxa" w:w="1080"/>
          </w:tcPr>
          <w:p>
            <w:r>
              <w:t>+41.01</w:t>
            </w:r>
          </w:p>
        </w:tc>
      </w:tr>
      <w:tr>
        <w:tc>
          <w:tcPr>
            <w:tcW w:type="dxa" w:w="1080"/>
          </w:tcPr>
          <w:p>
            <w:r>
              <w:t>Last 5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201.86%</w:t>
            </w:r>
          </w:p>
        </w:tc>
        <w:tc>
          <w:tcPr>
            <w:tcW w:type="dxa" w:w="1080"/>
          </w:tcPr>
          <w:p>
            <w:r>
              <w:t>64.73%</w:t>
            </w:r>
          </w:p>
        </w:tc>
        <w:tc>
          <w:tcPr>
            <w:tcW w:type="dxa" w:w="1080"/>
          </w:tcPr>
          <w:p>
            <w:r>
              <w:t>86.96%</w:t>
            </w:r>
          </w:p>
        </w:tc>
        <w:tc>
          <w:tcPr>
            <w:tcW w:type="dxa" w:w="1080"/>
          </w:tcPr>
          <w:p>
            <w:r>
              <w:t>75.85%</w:t>
            </w:r>
          </w:p>
        </w:tc>
        <w:tc>
          <w:tcPr>
            <w:tcW w:type="dxa" w:w="1080"/>
          </w:tcPr>
          <w:p>
            <w:r>
              <w:t>+126.02</w:t>
            </w:r>
          </w:p>
        </w:tc>
      </w:tr>
    </w:tbl>
    <w:p>
      <w:pPr>
        <w:pStyle w:val="Heading2"/>
      </w:pPr>
      <w:r>
        <w:t>Charts</w:t>
      </w:r>
    </w:p>
    <w:p>
      <w:r>
        <w:t>Asymmetric switch signals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0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5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0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signals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8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2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5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2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duration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00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duration_asym_last5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007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