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71.60%</w:t>
            </w:r>
          </w:p>
        </w:tc>
        <w:tc>
          <w:tcPr>
            <w:tcW w:type="dxa" w:w="1080"/>
          </w:tcPr>
          <w:p>
            <w:r>
              <w:t>14.43%</w:t>
            </w:r>
          </w:p>
        </w:tc>
        <w:tc>
          <w:tcPr>
            <w:tcW w:type="dxa" w:w="1080"/>
          </w:tcPr>
          <w:p>
            <w:r>
              <w:t>43.84%</w:t>
            </w:r>
          </w:p>
        </w:tc>
        <w:tc>
          <w:tcPr>
            <w:tcW w:type="dxa" w:w="1080"/>
          </w:tcPr>
          <w:p>
            <w:r>
              <w:t>29.14%</w:t>
            </w:r>
          </w:p>
        </w:tc>
        <w:tc>
          <w:tcPr>
            <w:tcW w:type="dxa" w:w="1080"/>
          </w:tcPr>
          <w:p>
            <w:r>
              <w:t>+42.46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203.31%</w:t>
            </w:r>
          </w:p>
        </w:tc>
        <w:tc>
          <w:tcPr>
            <w:tcW w:type="dxa" w:w="1080"/>
          </w:tcPr>
          <w:p>
            <w:r>
              <w:t>65.52%</w:t>
            </w:r>
          </w:p>
        </w:tc>
        <w:tc>
          <w:tcPr>
            <w:tcW w:type="dxa" w:w="1080"/>
          </w:tcPr>
          <w:p>
            <w:r>
              <w:t>82.62%</w:t>
            </w:r>
          </w:p>
        </w:tc>
        <w:tc>
          <w:tcPr>
            <w:tcW w:type="dxa" w:w="1080"/>
          </w:tcPr>
          <w:p>
            <w:r>
              <w:t>74.07%</w:t>
            </w:r>
          </w:p>
        </w:tc>
        <w:tc>
          <w:tcPr>
            <w:tcW w:type="dxa" w:w="1080"/>
          </w:tcPr>
          <w:p>
            <w:r>
              <w:t>+129.24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