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73.82%</w:t>
            </w:r>
          </w:p>
        </w:tc>
        <w:tc>
          <w:tcPr>
            <w:tcW w:type="dxa" w:w="1080"/>
          </w:tcPr>
          <w:p>
            <w:r>
              <w:t>15.92%</w:t>
            </w:r>
          </w:p>
        </w:tc>
        <w:tc>
          <w:tcPr>
            <w:tcW w:type="dxa" w:w="1080"/>
          </w:tcPr>
          <w:p>
            <w:r>
              <w:t>48.36%</w:t>
            </w:r>
          </w:p>
        </w:tc>
        <w:tc>
          <w:tcPr>
            <w:tcW w:type="dxa" w:w="1080"/>
          </w:tcPr>
          <w:p>
            <w:r>
              <w:t>32.14%</w:t>
            </w:r>
          </w:p>
        </w:tc>
        <w:tc>
          <w:tcPr>
            <w:tcW w:type="dxa" w:w="1080"/>
          </w:tcPr>
          <w:p>
            <w:r>
              <w:t>+41.68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198.15%</w:t>
            </w:r>
          </w:p>
        </w:tc>
        <w:tc>
          <w:tcPr>
            <w:tcW w:type="dxa" w:w="1080"/>
          </w:tcPr>
          <w:p>
            <w:r>
              <w:t>62.71%</w:t>
            </w:r>
          </w:p>
        </w:tc>
        <w:tc>
          <w:tcPr>
            <w:tcW w:type="dxa" w:w="1080"/>
          </w:tcPr>
          <w:p>
            <w:r>
              <w:t>83.97%</w:t>
            </w:r>
          </w:p>
        </w:tc>
        <w:tc>
          <w:tcPr>
            <w:tcW w:type="dxa" w:w="1080"/>
          </w:tcPr>
          <w:p>
            <w:r>
              <w:t>73.34%</w:t>
            </w:r>
          </w:p>
        </w:tc>
        <w:tc>
          <w:tcPr>
            <w:tcW w:type="dxa" w:w="1080"/>
          </w:tcPr>
          <w:p>
            <w:r>
              <w:t>+124.81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1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1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