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84.94%</w:t>
            </w:r>
          </w:p>
        </w:tc>
        <w:tc>
          <w:tcPr>
            <w:tcW w:type="dxa" w:w="1080"/>
          </w:tcPr>
          <w:p>
            <w:r>
              <w:t>23.33%</w:t>
            </w:r>
          </w:p>
        </w:tc>
        <w:tc>
          <w:tcPr>
            <w:tcW w:type="dxa" w:w="1080"/>
          </w:tcPr>
          <w:p>
            <w:r>
              <w:t>34.79%</w:t>
            </w:r>
          </w:p>
        </w:tc>
        <w:tc>
          <w:tcPr>
            <w:tcW w:type="dxa" w:w="1080"/>
          </w:tcPr>
          <w:p>
            <w:r>
              <w:t>29.06%</w:t>
            </w:r>
          </w:p>
        </w:tc>
        <w:tc>
          <w:tcPr>
            <w:tcW w:type="dxa" w:w="1080"/>
          </w:tcPr>
          <w:p>
            <w:r>
              <w:t>+55.88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219.41%</w:t>
            </w:r>
          </w:p>
        </w:tc>
        <w:tc>
          <w:tcPr>
            <w:tcW w:type="dxa" w:w="1080"/>
          </w:tcPr>
          <w:p>
            <w:r>
              <w:t>74.31%</w:t>
            </w:r>
          </w:p>
        </w:tc>
        <w:tc>
          <w:tcPr>
            <w:tcW w:type="dxa" w:w="1080"/>
          </w:tcPr>
          <w:p>
            <w:r>
              <w:t>63.08%</w:t>
            </w:r>
          </w:p>
        </w:tc>
        <w:tc>
          <w:tcPr>
            <w:tcW w:type="dxa" w:w="1080"/>
          </w:tcPr>
          <w:p>
            <w:r>
              <w:t>68.69%</w:t>
            </w:r>
          </w:p>
        </w:tc>
        <w:tc>
          <w:tcPr>
            <w:tcW w:type="dxa" w:w="1080"/>
          </w:tcPr>
          <w:p>
            <w:r>
              <w:t>+150.71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5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