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Historical Asymmetric Theory</w:t>
      </w:r>
    </w:p>
    <w:p>
      <w:r>
        <w:t>Directional thresholds: +11.5% for XST-&gt;XQQ and -7.0% for XQQ-&gt;XST, using symmetric delta ((XST - XQQ) / avg) * 100.</w:t>
      </w:r>
    </w:p>
    <w:p>
      <w:pPr>
        <w:pStyle w:val="Heading2"/>
      </w:pPr>
      <w:r>
        <w:t>Performance 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Window</w:t>
            </w:r>
          </w:p>
        </w:tc>
        <w:tc>
          <w:tcPr>
            <w:tcW w:type="dxa" w:w="1080"/>
          </w:tcPr>
          <w:p>
            <w:r>
              <w:t>Thresholds</w:t>
            </w:r>
          </w:p>
        </w:tc>
        <w:tc>
          <w:tcPr>
            <w:tcW w:type="dxa" w:w="1080"/>
          </w:tcPr>
          <w:p>
            <w:r>
              <w:t>Real switches</w:t>
            </w:r>
          </w:p>
        </w:tc>
        <w:tc>
          <w:tcPr>
            <w:tcW w:type="dxa" w:w="1080"/>
          </w:tcPr>
          <w:p>
            <w:r>
              <w:t>Asymmetric strategy %</w:t>
            </w:r>
          </w:p>
        </w:tc>
        <w:tc>
          <w:tcPr>
            <w:tcW w:type="dxa" w:w="1080"/>
          </w:tcPr>
          <w:p>
            <w:r>
              <w:t>Always XST %</w:t>
            </w:r>
          </w:p>
        </w:tc>
        <w:tc>
          <w:tcPr>
            <w:tcW w:type="dxa" w:w="1080"/>
          </w:tcPr>
          <w:p>
            <w:r>
              <w:t>Always XQQ %</w:t>
            </w:r>
          </w:p>
        </w:tc>
        <w:tc>
          <w:tcPr>
            <w:tcW w:type="dxa" w:w="1080"/>
          </w:tcPr>
          <w:p>
            <w:r>
              <w:t>50/50 %</w:t>
            </w:r>
          </w:p>
        </w:tc>
        <w:tc>
          <w:tcPr>
            <w:tcW w:type="dxa" w:w="1080"/>
          </w:tcPr>
          <w:p>
            <w:r>
              <w:t>Edge vs 50/50 (pp)</w:t>
            </w:r>
          </w:p>
        </w:tc>
      </w:tr>
      <w:tr>
        <w:tc>
          <w:tcPr>
            <w:tcW w:type="dxa" w:w="1080"/>
          </w:tcPr>
          <w:p>
            <w:r>
              <w:t>Last 2 years</w:t>
            </w:r>
          </w:p>
        </w:tc>
        <w:tc>
          <w:tcPr>
            <w:tcW w:type="dxa" w:w="1080"/>
          </w:tcPr>
          <w:p>
            <w:r>
              <w:t>+11.5% / -7.0%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88.79%</w:t>
            </w:r>
          </w:p>
        </w:tc>
        <w:tc>
          <w:tcPr>
            <w:tcW w:type="dxa" w:w="1080"/>
          </w:tcPr>
          <w:p>
            <w:r>
              <w:t>25.90%</w:t>
            </w:r>
          </w:p>
        </w:tc>
        <w:tc>
          <w:tcPr>
            <w:tcW w:type="dxa" w:w="1080"/>
          </w:tcPr>
          <w:p>
            <w:r>
              <w:t>34.00%</w:t>
            </w:r>
          </w:p>
        </w:tc>
        <w:tc>
          <w:tcPr>
            <w:tcW w:type="dxa" w:w="1080"/>
          </w:tcPr>
          <w:p>
            <w:r>
              <w:t>29.95%</w:t>
            </w:r>
          </w:p>
        </w:tc>
        <w:tc>
          <w:tcPr>
            <w:tcW w:type="dxa" w:w="1080"/>
          </w:tcPr>
          <w:p>
            <w:r>
              <w:t>+58.84</w:t>
            </w:r>
          </w:p>
        </w:tc>
      </w:tr>
      <w:tr>
        <w:tc>
          <w:tcPr>
            <w:tcW w:type="dxa" w:w="1080"/>
          </w:tcPr>
          <w:p>
            <w:r>
              <w:t>Last 5 years</w:t>
            </w:r>
          </w:p>
        </w:tc>
        <w:tc>
          <w:tcPr>
            <w:tcW w:type="dxa" w:w="1080"/>
          </w:tcPr>
          <w:p>
            <w:r>
              <w:t>+11.5% / -7.0%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224.69%</w:t>
            </w:r>
          </w:p>
        </w:tc>
        <w:tc>
          <w:tcPr>
            <w:tcW w:type="dxa" w:w="1080"/>
          </w:tcPr>
          <w:p>
            <w:r>
              <w:t>77.19%</w:t>
            </w:r>
          </w:p>
        </w:tc>
        <w:tc>
          <w:tcPr>
            <w:tcW w:type="dxa" w:w="1080"/>
          </w:tcPr>
          <w:p>
            <w:r>
              <w:t>65.83%</w:t>
            </w:r>
          </w:p>
        </w:tc>
        <w:tc>
          <w:tcPr>
            <w:tcW w:type="dxa" w:w="1080"/>
          </w:tcPr>
          <w:p>
            <w:r>
              <w:t>71.51%</w:t>
            </w:r>
          </w:p>
        </w:tc>
        <w:tc>
          <w:tcPr>
            <w:tcW w:type="dxa" w:w="1080"/>
          </w:tcPr>
          <w:p>
            <w:r>
              <w:t>+153.18</w:t>
            </w:r>
          </w:p>
        </w:tc>
      </w:tr>
    </w:tbl>
    <w:p>
      <w:pPr>
        <w:pStyle w:val="Heading2"/>
      </w:pPr>
      <w:r>
        <w:t>Charts</w:t>
      </w:r>
    </w:p>
    <w:p>
      <w:r>
        <w:t>Asymmetric switch signals - last 5 years</w:t>
      </w:r>
    </w:p>
    <w:p>
      <w:r>
        <w:drawing>
          <wp:inline xmlns:a="http://schemas.openxmlformats.org/drawingml/2006/main" xmlns:pic="http://schemas.openxmlformats.org/drawingml/2006/picture">
            <wp:extent cx="6217920" cy="26438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tch_signals_asym_last5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438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switch signals - last 2 years</w:t>
      </w:r>
    </w:p>
    <w:p>
      <w:r>
        <w:drawing>
          <wp:inline xmlns:a="http://schemas.openxmlformats.org/drawingml/2006/main" xmlns:pic="http://schemas.openxmlformats.org/drawingml/2006/picture">
            <wp:extent cx="6217920" cy="26388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tch_signals_asym_last2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38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real switches - last 5 years</w:t>
      </w:r>
    </w:p>
    <w:p>
      <w:r>
        <w:drawing>
          <wp:inline xmlns:a="http://schemas.openxmlformats.org/drawingml/2006/main" xmlns:pic="http://schemas.openxmlformats.org/drawingml/2006/picture">
            <wp:extent cx="6217920" cy="26345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switches_asym_last5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3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real switches - last 2 years</w:t>
      </w:r>
    </w:p>
    <w:p>
      <w:r>
        <w:drawing>
          <wp:inline xmlns:a="http://schemas.openxmlformats.org/drawingml/2006/main" xmlns:pic="http://schemas.openxmlformats.org/drawingml/2006/picture">
            <wp:extent cx="6217920" cy="26345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switches_asym_last2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3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switch duration - last 5 years</w:t>
      </w:r>
    </w:p>
    <w:p>
      <w:r>
        <w:drawing>
          <wp:inline xmlns:a="http://schemas.openxmlformats.org/drawingml/2006/main" xmlns:pic="http://schemas.openxmlformats.org/drawingml/2006/picture">
            <wp:extent cx="6217920" cy="26400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tch_duration_asym_last5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4007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