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要点：进食障碍</w:t>
      </w:r>
    </w:p>
    <w:p>
      <w:pPr>
        <w:rPr>
          <w:rFonts w:hint="eastAsia"/>
        </w:rPr>
      </w:pPr>
      <w:r>
        <w:rPr>
          <w:rFonts w:hint="eastAsia"/>
        </w:rPr>
        <w:fldChar w:fldCharType="begin"/>
      </w:r>
      <w:r>
        <w:rPr>
          <w:rFonts w:hint="eastAsia"/>
        </w:rPr>
        <w:instrText xml:space="preserve"> HYPERLINK "https://www.huacan.net.cn/qsnxl/zyz/42.html" </w:instrText>
      </w:r>
      <w:r>
        <w:rPr>
          <w:rFonts w:hint="eastAsia"/>
        </w:rPr>
        <w:fldChar w:fldCharType="separate"/>
      </w:r>
      <w:r>
        <w:rPr>
          <w:rStyle w:val="8"/>
          <w:rFonts w:hint="eastAsia"/>
        </w:rPr>
        <w:t>https://www.huacan.net.cn/qsnxl/zyz/42.html</w:t>
      </w:r>
      <w:r>
        <w:rPr>
          <w:rFonts w:hint="eastAsia"/>
        </w:rPr>
        <w:fldChar w:fldCharType="end"/>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95"/>
        <w:gridCol w:w="2518"/>
        <w:gridCol w:w="1304"/>
        <w:gridCol w:w="1326"/>
        <w:gridCol w:w="1382"/>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1" w:hRule="atLeast"/>
        </w:trPr>
        <w:tc>
          <w:tcPr>
            <w:tcW w:w="595" w:type="dxa"/>
          </w:tcPr>
          <w:p>
            <w:pPr>
              <w:rPr>
                <w:rFonts w:hint="default" w:eastAsiaTheme="minorEastAsia"/>
                <w:vertAlign w:val="baseline"/>
                <w:lang w:val="en-US" w:eastAsia="zh-CN"/>
              </w:rPr>
            </w:pPr>
            <w:r>
              <w:rPr>
                <w:rFonts w:hint="eastAsia"/>
                <w:vertAlign w:val="baseline"/>
                <w:lang w:val="en-US" w:eastAsia="zh-CN"/>
              </w:rPr>
              <w:t>编号</w:t>
            </w:r>
          </w:p>
        </w:tc>
        <w:tc>
          <w:tcPr>
            <w:tcW w:w="2518" w:type="dxa"/>
          </w:tcPr>
          <w:p>
            <w:pPr>
              <w:rPr>
                <w:rFonts w:hint="default"/>
                <w:vertAlign w:val="baseline"/>
                <w:lang w:val="en-US"/>
              </w:rPr>
            </w:pPr>
            <w:r>
              <w:rPr>
                <w:rFonts w:hint="eastAsia"/>
                <w:vertAlign w:val="baseline"/>
                <w:lang w:val="en-US" w:eastAsia="zh-CN"/>
              </w:rPr>
              <w:t>需求(考虑中)</w:t>
            </w:r>
          </w:p>
        </w:tc>
        <w:tc>
          <w:tcPr>
            <w:tcW w:w="1304" w:type="dxa"/>
          </w:tcPr>
          <w:p>
            <w:pPr>
              <w:rPr>
                <w:rFonts w:hint="default"/>
                <w:vertAlign w:val="baseline"/>
                <w:lang w:val="en-US" w:eastAsia="zh-CN"/>
              </w:rPr>
            </w:pPr>
            <w:r>
              <w:rPr>
                <w:rFonts w:hint="eastAsia"/>
                <w:vertAlign w:val="baseline"/>
                <w:lang w:val="en-US" w:eastAsia="zh-CN"/>
              </w:rPr>
              <w:t>使用对象</w:t>
            </w:r>
          </w:p>
        </w:tc>
        <w:tc>
          <w:tcPr>
            <w:tcW w:w="1326" w:type="dxa"/>
          </w:tcPr>
          <w:p>
            <w:pPr>
              <w:rPr>
                <w:rFonts w:hint="default" w:eastAsiaTheme="minorEastAsia"/>
                <w:vertAlign w:val="baseline"/>
                <w:lang w:val="en-US" w:eastAsia="zh-CN"/>
              </w:rPr>
            </w:pPr>
            <w:r>
              <w:rPr>
                <w:rFonts w:hint="eastAsia"/>
                <w:vertAlign w:val="baseline"/>
                <w:lang w:val="en-US" w:eastAsia="zh-CN"/>
              </w:rPr>
              <w:t>可行性/参考</w:t>
            </w:r>
          </w:p>
        </w:tc>
        <w:tc>
          <w:tcPr>
            <w:tcW w:w="1382" w:type="dxa"/>
          </w:tcPr>
          <w:p>
            <w:pPr>
              <w:rPr>
                <w:rFonts w:hint="default" w:eastAsiaTheme="minorEastAsia"/>
                <w:vertAlign w:val="baseline"/>
                <w:lang w:val="en-US" w:eastAsia="zh-CN"/>
              </w:rPr>
            </w:pPr>
            <w:r>
              <w:rPr>
                <w:rFonts w:hint="eastAsia"/>
                <w:vertAlign w:val="baseline"/>
                <w:lang w:val="en-US" w:eastAsia="zh-CN"/>
              </w:rPr>
              <w:t>数据来源</w:t>
            </w:r>
          </w:p>
        </w:tc>
        <w:tc>
          <w:tcPr>
            <w:tcW w:w="1394" w:type="dxa"/>
          </w:tcPr>
          <w:p>
            <w:pPr>
              <w:rPr>
                <w:rFonts w:hint="default" w:eastAsiaTheme="minorEastAsia"/>
                <w:vertAlign w:val="baseline"/>
                <w:lang w:val="en-US" w:eastAsia="zh-CN"/>
              </w:rPr>
            </w:pPr>
            <w:r>
              <w:rPr>
                <w:rFonts w:hint="eastAsia"/>
                <w:vertAlign w:val="baseline"/>
                <w:lang w:val="en-US" w:eastAsia="zh-CN"/>
              </w:rPr>
              <w:t>实施方案与技术难度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95" w:type="dxa"/>
          </w:tcPr>
          <w:p>
            <w:pPr>
              <w:rPr>
                <w:rFonts w:hint="eastAsia" w:eastAsiaTheme="minorEastAsia"/>
                <w:vertAlign w:val="baseline"/>
                <w:lang w:val="en-US" w:eastAsia="zh-CN"/>
              </w:rPr>
            </w:pPr>
            <w:bookmarkStart w:id="0" w:name="OLE_LINK1" w:colFirst="5" w:colLast="5"/>
            <w:r>
              <w:rPr>
                <w:rFonts w:hint="eastAsia"/>
                <w:vertAlign w:val="baseline"/>
                <w:lang w:val="en-US" w:eastAsia="zh-CN"/>
              </w:rPr>
              <w:t>1</w:t>
            </w:r>
          </w:p>
        </w:tc>
        <w:tc>
          <w:tcPr>
            <w:tcW w:w="2518" w:type="dxa"/>
          </w:tcPr>
          <w:p>
            <w:pPr>
              <w:rPr>
                <w:rFonts w:hint="default" w:eastAsiaTheme="minorEastAsia"/>
                <w:vertAlign w:val="baseline"/>
                <w:lang w:val="en-US" w:eastAsia="zh-CN"/>
              </w:rPr>
            </w:pPr>
            <w:r>
              <w:rPr>
                <w:rFonts w:hint="eastAsia"/>
                <w:vertAlign w:val="baseline"/>
                <w:lang w:val="en-US" w:eastAsia="zh-CN"/>
              </w:rPr>
              <w:t>疾病关联：厌食症和贪食症等</w:t>
            </w:r>
            <w:r>
              <w:rPr>
                <w:rFonts w:hint="eastAsia"/>
                <w:b/>
                <w:bCs/>
                <w:vertAlign w:val="baseline"/>
                <w:lang w:val="en-US" w:eastAsia="zh-CN"/>
              </w:rPr>
              <w:t>疾病</w:t>
            </w:r>
            <w:r>
              <w:rPr>
                <w:rFonts w:hint="eastAsia"/>
                <w:vertAlign w:val="baseline"/>
                <w:lang w:val="en-US" w:eastAsia="zh-CN"/>
              </w:rPr>
              <w:t>的相关性与差异</w:t>
            </w:r>
            <w:r>
              <w:rPr>
                <w:rFonts w:hint="eastAsia"/>
                <w:b/>
                <w:bCs/>
                <w:vertAlign w:val="baseline"/>
                <w:lang w:val="en-US" w:eastAsia="zh-CN"/>
              </w:rPr>
              <w:t>比较</w:t>
            </w:r>
            <w:r>
              <w:rPr>
                <w:rFonts w:hint="eastAsia"/>
                <w:vertAlign w:val="baseline"/>
                <w:lang w:val="en-US" w:eastAsia="zh-CN"/>
              </w:rPr>
              <w:t>: 整体性，基因遗传相似度打分，并提供相关信息</w:t>
            </w:r>
          </w:p>
        </w:tc>
        <w:tc>
          <w:tcPr>
            <w:tcW w:w="1304" w:type="dxa"/>
          </w:tcPr>
          <w:p>
            <w:pPr>
              <w:rPr>
                <w:rFonts w:hint="default" w:eastAsiaTheme="minorEastAsia"/>
                <w:vertAlign w:val="baseline"/>
                <w:lang w:val="en-US" w:eastAsia="zh-CN"/>
              </w:rPr>
            </w:pPr>
            <w:r>
              <w:rPr>
                <w:rFonts w:hint="eastAsia"/>
                <w:vertAlign w:val="baseline"/>
                <w:lang w:val="en-US" w:eastAsia="zh-CN"/>
              </w:rPr>
              <w:t>检验科医生及研究人员</w:t>
            </w:r>
          </w:p>
        </w:tc>
        <w:tc>
          <w:tcPr>
            <w:tcW w:w="1326" w:type="dxa"/>
          </w:tcPr>
          <w:p>
            <w:pPr>
              <w:rPr>
                <w:rFonts w:hint="eastAsia"/>
                <w:vertAlign w:val="baseline"/>
              </w:rPr>
            </w:pPr>
          </w:p>
        </w:tc>
        <w:tc>
          <w:tcPr>
            <w:tcW w:w="1382" w:type="dxa"/>
          </w:tcPr>
          <w:p>
            <w:pPr>
              <w:rPr>
                <w:rFonts w:hint="eastAsia"/>
                <w:vertAlign w:val="baseline"/>
              </w:rPr>
            </w:pPr>
          </w:p>
        </w:tc>
        <w:tc>
          <w:tcPr>
            <w:tcW w:w="1394" w:type="dxa"/>
          </w:tcPr>
          <w:p>
            <w:pPr>
              <w:rPr>
                <w:rFonts w:hint="eastAsia"/>
                <w:vertAlign w:val="baseline"/>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95" w:type="dxa"/>
          </w:tcPr>
          <w:p>
            <w:pPr>
              <w:rPr>
                <w:rFonts w:hint="eastAsia" w:eastAsiaTheme="minorEastAsia"/>
                <w:vertAlign w:val="baseline"/>
                <w:lang w:val="en-US" w:eastAsia="zh-CN"/>
              </w:rPr>
            </w:pPr>
            <w:r>
              <w:rPr>
                <w:rFonts w:hint="eastAsia"/>
                <w:vertAlign w:val="baseline"/>
                <w:lang w:val="en-US" w:eastAsia="zh-CN"/>
              </w:rPr>
              <w:t>2</w:t>
            </w:r>
          </w:p>
        </w:tc>
        <w:tc>
          <w:tcPr>
            <w:tcW w:w="2518" w:type="dxa"/>
          </w:tcPr>
          <w:p>
            <w:pPr>
              <w:rPr>
                <w:rFonts w:hint="default" w:eastAsiaTheme="minorEastAsia"/>
                <w:vertAlign w:val="baseline"/>
                <w:lang w:val="en-US" w:eastAsia="zh-CN"/>
              </w:rPr>
            </w:pPr>
            <w:r>
              <w:rPr>
                <w:rFonts w:hint="eastAsia"/>
                <w:vertAlign w:val="baseline"/>
                <w:lang w:val="en-US" w:eastAsia="zh-CN"/>
              </w:rPr>
              <w:t>风险评估与预测：厌食症倾向等患病</w:t>
            </w:r>
            <w:r>
              <w:rPr>
                <w:rFonts w:hint="eastAsia"/>
                <w:b/>
                <w:bCs/>
                <w:vertAlign w:val="baseline"/>
                <w:lang w:val="en-US" w:eastAsia="zh-CN"/>
              </w:rPr>
              <w:t>风险评估</w:t>
            </w:r>
          </w:p>
        </w:tc>
        <w:tc>
          <w:tcPr>
            <w:tcW w:w="1304" w:type="dxa"/>
          </w:tcPr>
          <w:p>
            <w:pPr>
              <w:rPr>
                <w:rFonts w:hint="default" w:eastAsiaTheme="minorEastAsia"/>
                <w:vertAlign w:val="baseline"/>
                <w:lang w:val="en-US" w:eastAsia="zh-CN"/>
              </w:rPr>
            </w:pPr>
            <w:r>
              <w:rPr>
                <w:rFonts w:hint="eastAsia"/>
                <w:vertAlign w:val="baseline"/>
                <w:lang w:val="en-US" w:eastAsia="zh-CN"/>
              </w:rPr>
              <w:t>患者及家人，及部分医师</w:t>
            </w:r>
          </w:p>
        </w:tc>
        <w:tc>
          <w:tcPr>
            <w:tcW w:w="1326" w:type="dxa"/>
          </w:tcPr>
          <w:p>
            <w:pPr>
              <w:rPr>
                <w:rFonts w:hint="eastAsia"/>
                <w:vertAlign w:val="baseline"/>
              </w:rPr>
            </w:pPr>
          </w:p>
        </w:tc>
        <w:tc>
          <w:tcPr>
            <w:tcW w:w="1382" w:type="dxa"/>
          </w:tcPr>
          <w:p>
            <w:pPr>
              <w:rPr>
                <w:rFonts w:hint="eastAsia"/>
                <w:vertAlign w:val="baseline"/>
              </w:rPr>
            </w:pPr>
          </w:p>
        </w:tc>
        <w:tc>
          <w:tcPr>
            <w:tcW w:w="13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3" w:hRule="atLeast"/>
        </w:trPr>
        <w:tc>
          <w:tcPr>
            <w:tcW w:w="595" w:type="dxa"/>
          </w:tcPr>
          <w:p>
            <w:pPr>
              <w:rPr>
                <w:rFonts w:hint="eastAsia" w:eastAsiaTheme="minorEastAsia"/>
                <w:vertAlign w:val="baseline"/>
                <w:lang w:val="en-US" w:eastAsia="zh-CN"/>
              </w:rPr>
            </w:pPr>
            <w:r>
              <w:rPr>
                <w:rFonts w:hint="eastAsia"/>
                <w:vertAlign w:val="baseline"/>
                <w:lang w:val="en-US" w:eastAsia="zh-CN"/>
              </w:rPr>
              <w:t>3</w:t>
            </w:r>
          </w:p>
        </w:tc>
        <w:tc>
          <w:tcPr>
            <w:tcW w:w="2518" w:type="dxa"/>
          </w:tcPr>
          <w:p>
            <w:pPr>
              <w:rPr>
                <w:rFonts w:hint="eastAsia"/>
                <w:vertAlign w:val="baseline"/>
                <w:lang w:val="en-US" w:eastAsia="zh-CN"/>
              </w:rPr>
            </w:pPr>
            <w:r>
              <w:rPr>
                <w:rFonts w:hint="eastAsia"/>
                <w:vertAlign w:val="baseline"/>
                <w:lang w:val="en-US" w:eastAsia="zh-CN"/>
              </w:rPr>
              <w:t>证据收集：遗传位点(SNP,CNV,DNM等)，转录组和表观组（整合工具预测与mapping）、影像相关信息（用于可视化脑区，加比例），肠道微生物相关性等</w:t>
            </w:r>
          </w:p>
          <w:p>
            <w:pPr>
              <w:rPr>
                <w:rFonts w:hint="eastAsia"/>
                <w:vertAlign w:val="baseline"/>
                <w:lang w:val="en-US" w:eastAsia="zh-CN"/>
              </w:rPr>
            </w:pPr>
            <w:r>
              <w:rPr>
                <w:rFonts w:hint="eastAsia"/>
                <w:vertAlign w:val="baseline"/>
                <w:lang w:val="en-US" w:eastAsia="zh-CN"/>
              </w:rPr>
              <w:t>作用于疾病发生、具体表型等</w:t>
            </w:r>
          </w:p>
          <w:p>
            <w:pPr>
              <w:numPr>
                <w:ilvl w:val="0"/>
                <w:numId w:val="1"/>
              </w:numPr>
              <w:rPr>
                <w:rFonts w:hint="eastAsia"/>
                <w:vertAlign w:val="baseline"/>
                <w:lang w:val="en-US" w:eastAsia="zh-CN"/>
              </w:rPr>
            </w:pPr>
            <w:r>
              <w:rPr>
                <w:rFonts w:hint="eastAsia"/>
                <w:vertAlign w:val="baseline"/>
                <w:lang w:val="en-US" w:eastAsia="zh-CN"/>
              </w:rPr>
              <w:t>人的数据</w:t>
            </w:r>
          </w:p>
          <w:p>
            <w:pPr>
              <w:numPr>
                <w:ilvl w:val="0"/>
                <w:numId w:val="1"/>
              </w:numPr>
              <w:rPr>
                <w:rFonts w:hint="default"/>
                <w:vertAlign w:val="baseline"/>
                <w:lang w:val="en-US" w:eastAsia="zh-CN"/>
              </w:rPr>
            </w:pPr>
            <w:r>
              <w:rPr>
                <w:rFonts w:hint="eastAsia"/>
                <w:vertAlign w:val="baseline"/>
                <w:lang w:val="en-US" w:eastAsia="zh-CN"/>
              </w:rPr>
              <w:t>小鼠模型的数据</w:t>
            </w:r>
          </w:p>
        </w:tc>
        <w:tc>
          <w:tcPr>
            <w:tcW w:w="1304" w:type="dxa"/>
          </w:tcPr>
          <w:p>
            <w:pPr>
              <w:rPr>
                <w:rFonts w:hint="default" w:eastAsiaTheme="minorEastAsia"/>
                <w:vertAlign w:val="baseline"/>
                <w:lang w:val="en-US" w:eastAsia="zh-CN"/>
              </w:rPr>
            </w:pPr>
            <w:r>
              <w:rPr>
                <w:rFonts w:hint="eastAsia"/>
                <w:vertAlign w:val="baseline"/>
                <w:lang w:val="en-US" w:eastAsia="zh-CN"/>
              </w:rPr>
              <w:t>研究人员</w:t>
            </w:r>
          </w:p>
        </w:tc>
        <w:tc>
          <w:tcPr>
            <w:tcW w:w="1326" w:type="dxa"/>
          </w:tcPr>
          <w:p>
            <w:pPr>
              <w:rPr>
                <w:rFonts w:hint="eastAsia"/>
                <w:vertAlign w:val="baseline"/>
              </w:rPr>
            </w:pPr>
          </w:p>
        </w:tc>
        <w:tc>
          <w:tcPr>
            <w:tcW w:w="1382" w:type="dxa"/>
          </w:tcPr>
          <w:p>
            <w:pPr>
              <w:rPr>
                <w:rFonts w:hint="eastAsia"/>
                <w:vertAlign w:val="baseline"/>
              </w:rPr>
            </w:pPr>
          </w:p>
        </w:tc>
        <w:tc>
          <w:tcPr>
            <w:tcW w:w="13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95" w:type="dxa"/>
          </w:tcPr>
          <w:p>
            <w:pPr>
              <w:rPr>
                <w:rFonts w:hint="eastAsia" w:eastAsiaTheme="minorEastAsia"/>
                <w:vertAlign w:val="baseline"/>
                <w:lang w:val="en-US" w:eastAsia="zh-CN"/>
              </w:rPr>
            </w:pPr>
            <w:r>
              <w:rPr>
                <w:rFonts w:hint="eastAsia"/>
                <w:vertAlign w:val="baseline"/>
                <w:lang w:val="en-US" w:eastAsia="zh-CN"/>
              </w:rPr>
              <w:t>4</w:t>
            </w:r>
          </w:p>
        </w:tc>
        <w:tc>
          <w:tcPr>
            <w:tcW w:w="2518" w:type="dxa"/>
          </w:tcPr>
          <w:p>
            <w:pPr>
              <w:rPr>
                <w:rFonts w:hint="default" w:eastAsiaTheme="minorEastAsia"/>
                <w:vertAlign w:val="baseline"/>
                <w:lang w:val="en-US" w:eastAsia="zh-CN"/>
              </w:rPr>
            </w:pPr>
            <w:r>
              <w:rPr>
                <w:rFonts w:hint="eastAsia"/>
                <w:vertAlign w:val="baseline"/>
                <w:lang w:val="en-US" w:eastAsia="zh-CN"/>
              </w:rPr>
              <w:t>知识性：输入基因或者位点，显示在哪类function或者人群中起作用，后续可视化或者给出综合风险评分</w:t>
            </w:r>
          </w:p>
        </w:tc>
        <w:tc>
          <w:tcPr>
            <w:tcW w:w="1304" w:type="dxa"/>
          </w:tcPr>
          <w:p>
            <w:pPr>
              <w:rPr>
                <w:rFonts w:hint="eastAsia"/>
                <w:vertAlign w:val="baseline"/>
              </w:rPr>
            </w:pPr>
          </w:p>
        </w:tc>
        <w:tc>
          <w:tcPr>
            <w:tcW w:w="1326" w:type="dxa"/>
          </w:tcPr>
          <w:p>
            <w:pPr>
              <w:rPr>
                <w:rFonts w:hint="eastAsia"/>
                <w:vertAlign w:val="baseline"/>
              </w:rPr>
            </w:pPr>
          </w:p>
        </w:tc>
        <w:tc>
          <w:tcPr>
            <w:tcW w:w="1382" w:type="dxa"/>
          </w:tcPr>
          <w:p>
            <w:pPr>
              <w:rPr>
                <w:rFonts w:hint="eastAsia"/>
                <w:vertAlign w:val="baseline"/>
              </w:rPr>
            </w:pPr>
          </w:p>
        </w:tc>
        <w:tc>
          <w:tcPr>
            <w:tcW w:w="13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95" w:type="dxa"/>
          </w:tcPr>
          <w:p>
            <w:pPr>
              <w:rPr>
                <w:rFonts w:hint="default"/>
                <w:vertAlign w:val="baseline"/>
                <w:lang w:val="en-US" w:eastAsia="zh-CN"/>
              </w:rPr>
            </w:pPr>
            <w:r>
              <w:rPr>
                <w:rFonts w:hint="eastAsia"/>
                <w:vertAlign w:val="baseline"/>
                <w:lang w:val="en-US" w:eastAsia="zh-CN"/>
              </w:rPr>
              <w:t>5</w:t>
            </w:r>
          </w:p>
        </w:tc>
        <w:tc>
          <w:tcPr>
            <w:tcW w:w="2518" w:type="dxa"/>
          </w:tcPr>
          <w:p>
            <w:pPr>
              <w:rPr>
                <w:rFonts w:hint="eastAsia"/>
                <w:vertAlign w:val="baseline"/>
              </w:rPr>
            </w:pPr>
          </w:p>
        </w:tc>
        <w:tc>
          <w:tcPr>
            <w:tcW w:w="1304" w:type="dxa"/>
          </w:tcPr>
          <w:p>
            <w:pPr>
              <w:rPr>
                <w:rFonts w:hint="eastAsia"/>
                <w:vertAlign w:val="baseline"/>
              </w:rPr>
            </w:pPr>
          </w:p>
        </w:tc>
        <w:tc>
          <w:tcPr>
            <w:tcW w:w="1326" w:type="dxa"/>
          </w:tcPr>
          <w:p>
            <w:pPr>
              <w:rPr>
                <w:rFonts w:hint="eastAsia"/>
                <w:vertAlign w:val="baseline"/>
              </w:rPr>
            </w:pPr>
          </w:p>
        </w:tc>
        <w:tc>
          <w:tcPr>
            <w:tcW w:w="1382" w:type="dxa"/>
          </w:tcPr>
          <w:p>
            <w:pPr>
              <w:rPr>
                <w:rFonts w:hint="eastAsia"/>
                <w:vertAlign w:val="baseline"/>
              </w:rPr>
            </w:pPr>
          </w:p>
        </w:tc>
        <w:tc>
          <w:tcPr>
            <w:tcW w:w="1394" w:type="dxa"/>
          </w:tcPr>
          <w:p>
            <w:pPr>
              <w:rPr>
                <w:rFonts w:hint="eastAsia"/>
                <w:vertAlign w:val="baseline"/>
              </w:rPr>
            </w:pPr>
          </w:p>
        </w:tc>
      </w:tr>
    </w:tbl>
    <w:p>
      <w:pPr>
        <w:rPr>
          <w:rFonts w:hint="eastAsia"/>
        </w:rPr>
      </w:pPr>
    </w:p>
    <w:p>
      <w:pPr>
        <w:rPr>
          <w:rFonts w:hint="default" w:eastAsiaTheme="minorEastAsia"/>
          <w:lang w:val="en-US" w:eastAsia="zh-CN"/>
        </w:rPr>
      </w:pPr>
      <w:r>
        <w:rPr>
          <w:rFonts w:hint="eastAsia"/>
          <w:lang w:val="en-US" w:eastAsia="zh-CN"/>
        </w:rPr>
        <w:t>决定：研究性的数据库（优先等级）</w:t>
      </w:r>
    </w:p>
    <w:p>
      <w:pPr>
        <w:pStyle w:val="3"/>
        <w:bidi w:val="0"/>
        <w:rPr>
          <w:rFonts w:hint="default"/>
          <w:lang w:val="en-US" w:eastAsia="zh-CN"/>
        </w:rPr>
      </w:pPr>
      <w:r>
        <w:rPr>
          <w:rFonts w:hint="eastAsia"/>
          <w:lang w:val="en-US" w:eastAsia="zh-CN"/>
        </w:rPr>
        <w:t>下一步计划：查看AN及相关进食障碍的各类型数据文章，整理概览表，并先下载大文章的数据（先基于疾病整理数据，后续用其他数据库来源数据做融合）</w:t>
      </w:r>
      <w:bookmarkStart w:id="3" w:name="_GoBack"/>
      <w:bookmarkEnd w:id="3"/>
    </w:p>
    <w:p>
      <w:pPr>
        <w:numPr>
          <w:ilvl w:val="0"/>
          <w:numId w:val="2"/>
        </w:numPr>
        <w:rPr>
          <w:rFonts w:hint="default"/>
          <w:lang w:val="en-US" w:eastAsia="zh-CN"/>
        </w:rPr>
      </w:pPr>
      <w:r>
        <w:rPr>
          <w:rFonts w:hint="eastAsia"/>
          <w:lang w:val="en-US" w:eastAsia="zh-CN"/>
        </w:rPr>
        <w:t>AN数据量查查，不够的话扩展到所有进食障碍或者与其报道过的共病</w:t>
      </w:r>
    </w:p>
    <w:p>
      <w:pPr>
        <w:numPr>
          <w:ilvl w:val="0"/>
          <w:numId w:val="2"/>
        </w:numPr>
        <w:rPr>
          <w:rFonts w:hint="default"/>
          <w:lang w:val="en-US" w:eastAsia="zh-CN"/>
        </w:rPr>
      </w:pPr>
      <w:r>
        <w:rPr>
          <w:rFonts w:hint="eastAsia"/>
          <w:lang w:val="en-US" w:eastAsia="zh-CN"/>
        </w:rPr>
        <w:t>疾病。</w:t>
      </w:r>
    </w:p>
    <w:p>
      <w:pPr>
        <w:numPr>
          <w:ilvl w:val="0"/>
          <w:numId w:val="2"/>
        </w:numPr>
        <w:rPr>
          <w:rFonts w:hint="default"/>
          <w:lang w:val="en-US" w:eastAsia="zh-CN"/>
        </w:rPr>
      </w:pPr>
      <w:r>
        <w:rPr>
          <w:rFonts w:hint="eastAsia"/>
          <w:lang w:val="en-US" w:eastAsia="zh-CN"/>
        </w:rPr>
        <w:t>按照http://www.szdb.org/GeneeQTL2.php中收集的数据查类似的数据文章。</w:t>
      </w:r>
    </w:p>
    <w:p>
      <w:pPr>
        <w:numPr>
          <w:ilvl w:val="0"/>
          <w:numId w:val="2"/>
        </w:numPr>
        <w:rPr>
          <w:rFonts w:hint="default"/>
          <w:lang w:val="en-US" w:eastAsia="zh-CN"/>
        </w:rPr>
      </w:pPr>
      <w:r>
        <w:rPr>
          <w:rFonts w:hint="eastAsia"/>
          <w:lang w:val="en-US" w:eastAsia="zh-CN"/>
        </w:rPr>
        <w:t>先统计整体数据的情况，和种类的数据。</w:t>
      </w:r>
    </w:p>
    <w:p>
      <w:pPr>
        <w:numPr>
          <w:ilvl w:val="0"/>
          <w:numId w:val="2"/>
        </w:numPr>
        <w:rPr>
          <w:rFonts w:hint="default"/>
          <w:lang w:val="en-US" w:eastAsia="zh-CN"/>
        </w:rPr>
      </w:pPr>
      <w:r>
        <w:rPr>
          <w:rFonts w:hint="eastAsia"/>
          <w:lang w:val="en-US" w:eastAsia="zh-CN"/>
        </w:rPr>
        <w:t>表达值或者位点，人和小鼠都可用。</w:t>
      </w:r>
    </w:p>
    <w:p>
      <w:pPr>
        <w:numPr>
          <w:ilvl w:val="0"/>
          <w:numId w:val="2"/>
        </w:numPr>
        <w:rPr>
          <w:rFonts w:hint="default"/>
          <w:lang w:val="en-US" w:eastAsia="zh-CN"/>
        </w:rPr>
      </w:pPr>
      <w:r>
        <w:rPr>
          <w:rFonts w:hint="eastAsia"/>
          <w:lang w:val="en-US" w:eastAsia="zh-CN"/>
        </w:rPr>
        <w:t>整理一个研究搜集表，注明研究类型，来源链接，物种，总研究数目。</w:t>
      </w:r>
    </w:p>
    <w:p>
      <w:pPr>
        <w:rPr>
          <w:rFonts w:hint="default"/>
          <w:lang w:val="en-US" w:eastAsia="zh-CN"/>
        </w:rPr>
      </w:pPr>
    </w:p>
    <w:p>
      <w:pPr>
        <w:rPr>
          <w:rFonts w:hint="default"/>
          <w:lang w:val="en-US" w:eastAsia="zh-CN"/>
        </w:rPr>
      </w:pPr>
      <w:r>
        <w:rPr>
          <w:rFonts w:hint="eastAsia"/>
          <w:lang w:val="en-US" w:eastAsia="zh-CN"/>
        </w:rPr>
        <w:t>问题：</w:t>
      </w:r>
    </w:p>
    <w:p>
      <w:pPr>
        <w:rPr>
          <w:rFonts w:hint="default"/>
          <w:lang w:val="en-US" w:eastAsia="zh-CN"/>
        </w:rPr>
      </w:pPr>
      <w:r>
        <w:rPr>
          <w:rFonts w:hint="eastAsia"/>
          <w:lang w:val="en-US" w:eastAsia="zh-CN"/>
        </w:rPr>
        <w:t>基因是否是疾病的主要因素。</w:t>
      </w:r>
    </w:p>
    <w:p>
      <w:pPr>
        <w:rPr>
          <w:rFonts w:hint="eastAsia"/>
          <w:lang w:val="en-US" w:eastAsia="zh-CN"/>
        </w:rPr>
      </w:pPr>
      <w:r>
        <w:rPr>
          <w:rFonts w:hint="eastAsia"/>
          <w:lang w:val="en-US" w:eastAsia="zh-CN"/>
        </w:rPr>
        <w:t>数据比较零散。</w:t>
      </w:r>
    </w:p>
    <w:p>
      <w:pPr>
        <w:rPr>
          <w:rFonts w:hint="eastAsia"/>
          <w:lang w:val="en-US" w:eastAsia="zh-CN"/>
        </w:rPr>
      </w:pPr>
      <w:r>
        <w:rPr>
          <w:rFonts w:hint="eastAsia"/>
          <w:lang w:val="en-US" w:eastAsia="zh-CN"/>
        </w:rPr>
        <w:t>不同文章同一个基因的结果不同。</w:t>
      </w:r>
    </w:p>
    <w:p>
      <w:pPr>
        <w:rPr>
          <w:rFonts w:hint="default"/>
          <w:lang w:val="en-US" w:eastAsia="zh-CN"/>
        </w:rPr>
      </w:pPr>
      <w:r>
        <w:rPr>
          <w:rFonts w:hint="eastAsia"/>
          <w:lang w:val="en-US" w:eastAsia="zh-CN"/>
        </w:rPr>
        <w:t>数据形式，基因或者表格。</w:t>
      </w:r>
    </w:p>
    <w:p>
      <w:pPr>
        <w:rPr>
          <w:rFonts w:hint="default"/>
          <w:lang w:val="en-US" w:eastAsia="zh-CN"/>
        </w:rPr>
      </w:pPr>
      <w:r>
        <w:rPr>
          <w:rFonts w:hint="eastAsia"/>
          <w:lang w:val="en-US" w:eastAsia="zh-CN"/>
        </w:rPr>
        <w:t>GEO</w:t>
      </w:r>
    </w:p>
    <w:p>
      <w:pPr>
        <w:pStyle w:val="3"/>
        <w:bidi w:val="0"/>
        <w:rPr>
          <w:rFonts w:hint="eastAsia"/>
          <w:lang w:val="en-US" w:eastAsia="zh-CN"/>
        </w:rPr>
      </w:pPr>
      <w:r>
        <w:rPr>
          <w:rFonts w:hint="eastAsia"/>
          <w:lang w:val="en-US" w:eastAsia="zh-CN"/>
        </w:rPr>
        <w:t>参考资料</w:t>
      </w:r>
    </w:p>
    <w:p>
      <w:pPr>
        <w:rPr>
          <w:rFonts w:hint="default"/>
          <w:lang w:val="en-US" w:eastAsia="zh-CN"/>
        </w:rPr>
      </w:pPr>
      <w:r>
        <w:rPr>
          <w:rFonts w:hint="eastAsia"/>
          <w:lang w:val="en-US" w:eastAsia="zh-CN"/>
        </w:rPr>
        <w:t>一、进食障碍相关知识</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"https://www.xinli001.com/info/100440367" </w:instrText>
      </w:r>
      <w:r>
        <w:rPr>
          <w:rFonts w:hint="default"/>
          <w:lang w:val="en-US" w:eastAsia="zh-CN"/>
        </w:rPr>
        <w:fldChar w:fldCharType="separate"/>
      </w:r>
      <w:r>
        <w:rPr>
          <w:rStyle w:val="8"/>
          <w:rFonts w:hint="default"/>
          <w:lang w:val="en-US" w:eastAsia="zh-CN"/>
        </w:rPr>
        <w:t>https://www.xinli001.com/info/100440367</w:t>
      </w:r>
      <w:r>
        <w:rPr>
          <w:rFonts w:hint="default"/>
          <w:lang w:val="en-US" w:eastAsia="zh-CN"/>
        </w:rPr>
        <w:fldChar w:fldCharType="end"/>
      </w:r>
    </w:p>
    <w:p>
      <w:pPr>
        <w:numPr>
          <w:ilvl w:val="0"/>
          <w:numId w:val="3"/>
        </w:numPr>
        <w:rPr>
          <w:rFonts w:hint="default"/>
          <w:lang w:val="en-US" w:eastAsia="zh-CN"/>
        </w:rPr>
      </w:pPr>
      <w:r>
        <w:rPr>
          <w:rFonts w:hint="default"/>
          <w:lang w:val="en-US" w:eastAsia="zh-CN"/>
        </w:rPr>
        <w:t>密歇根大学饮食失调专家大卫 S.罗森（David S. Rosen）博士说，遗传起着重要作用。他说：“</w:t>
      </w:r>
      <w:r>
        <w:rPr>
          <w:rFonts w:hint="default"/>
          <w:u w:val="single"/>
          <w:lang w:val="en-US" w:eastAsia="zh-CN"/>
        </w:rPr>
        <w:t>科学家们已经发现，饮食失调的基因与抑郁症、精神分裂症和其他心理疾病的基因非常相似”。而缺乏灵活性和焦虑等性格特征往往伴随着厌食症</w:t>
      </w:r>
      <w:r>
        <w:rPr>
          <w:rFonts w:hint="default"/>
          <w:lang w:val="en-US" w:eastAsia="zh-CN"/>
        </w:rPr>
        <w:t>。</w:t>
      </w:r>
    </w:p>
    <w:p>
      <w:pPr>
        <w:numPr>
          <w:numId w:val="0"/>
        </w:numPr>
        <w:rPr>
          <w:rFonts w:hint="default"/>
          <w:lang w:val="en-US" w:eastAsia="zh-CN"/>
        </w:rPr>
      </w:pPr>
      <w:r>
        <w:rPr>
          <w:rFonts w:hint="default"/>
          <w:lang w:val="en-US" w:eastAsia="zh-CN"/>
        </w:rPr>
        <w:t>具体因素，包括遗传、文化因素、节食和生理共病。 “通常情况下，进食障碍会与其他疾病同时出现，比如抑郁、焦虑、孤独和高压力。</w:t>
      </w:r>
    </w:p>
    <w:p>
      <w:pPr>
        <w:rPr>
          <w:rFonts w:hint="default"/>
          <w:lang w:val="en-US" w:eastAsia="zh-CN"/>
        </w:rPr>
      </w:pPr>
    </w:p>
    <w:p>
      <w:pPr>
        <w:rPr>
          <w:rFonts w:hint="default"/>
          <w:lang w:val="en-US" w:eastAsia="zh-CN"/>
        </w:rPr>
      </w:pPr>
      <w:r>
        <w:rPr>
          <w:rFonts w:hint="default"/>
          <w:lang w:val="en-US" w:eastAsia="zh-CN"/>
        </w:rPr>
        <w:t>心理和行为障碍</w:t>
      </w:r>
    </w:p>
    <w:p>
      <w:pPr>
        <w:rPr>
          <w:rFonts w:hint="default"/>
          <w:lang w:val="en-US" w:eastAsia="zh-CN"/>
        </w:rPr>
      </w:pPr>
      <w:r>
        <w:rPr>
          <w:rFonts w:hint="default"/>
          <w:lang w:val="en-US" w:eastAsia="zh-CN"/>
        </w:rPr>
        <w:t>BN的行为特征主要为暴食-清除循环，表现为冲动性暴食行为，缺乏饱食感，伴有失控感。这些行为常与空虚、孤独、挫折感或有诱惑的食物有关。BN患者通常在出现罪恶感、极度痛苦或躯体不适如恶心、腹胀、腹痛时终止暴食行为，继之是补偿性排泄行为，以防止体重增加。常用的清除行为有用手指抠吐或自发呕吐、过度运动、禁食，滥用利尿剂、泻药、食欲抑制剂和加速机体代谢的药物如甲状腺激素等。暴食-清除行为可以反复循环。暴食和补偿性清除行为的秘密性是BN的另一特征，其行为常不被家人和朋友注意。此外，BN患者中还常见偷窃食物及酒精滥用、性紊乱、自伤、自杀企图等冲动行为。</w:t>
      </w:r>
      <w:r>
        <w:rPr>
          <w:rFonts w:hint="default"/>
          <w:u w:val="single"/>
          <w:lang w:val="en-US" w:eastAsia="zh-CN"/>
        </w:rPr>
        <w:t>BN和其他精神障碍关系密切，可合并心境障碍、焦虑障碍、物质滥用特别是酒精和兴奋剂滥用，BN患者人格障碍的共病率较高</w:t>
      </w:r>
      <w:r>
        <w:rPr>
          <w:rFonts w:hint="default"/>
          <w:lang w:val="en-US" w:eastAsia="zh-CN"/>
        </w:rPr>
        <w:t>，主要表现为边缘性、反社会性、表演性和自恋性人格障碍。</w:t>
      </w:r>
    </w:p>
    <w:p>
      <w:pPr>
        <w:rPr>
          <w:rFonts w:hint="default"/>
          <w:lang w:val="en-US" w:eastAsia="zh-CN"/>
        </w:rPr>
      </w:pPr>
    </w:p>
    <w:p>
      <w:pPr>
        <w:rPr>
          <w:rFonts w:hint="default"/>
          <w:lang w:val="en-US" w:eastAsia="zh-CN"/>
        </w:rPr>
      </w:pPr>
      <w:r>
        <w:rPr>
          <w:rFonts w:hint="default"/>
          <w:lang w:val="en-US" w:eastAsia="zh-CN"/>
        </w:rPr>
        <w:t>神经性厌食</w:t>
      </w:r>
    </w:p>
    <w:p>
      <w:pPr>
        <w:rPr>
          <w:rFonts w:hint="default"/>
          <w:lang w:val="en-US" w:eastAsia="zh-CN"/>
        </w:rPr>
      </w:pPr>
      <w:r>
        <w:rPr>
          <w:rFonts w:hint="default"/>
          <w:lang w:val="en-US" w:eastAsia="zh-CN"/>
        </w:rPr>
        <w:t>如果暴食和清除行为单单发生在神经性厌食发作阶段，就不能下神经性贪食的诊断。在该情况下诊断为神经性厌食，暴食-清除型。</w:t>
      </w:r>
    </w:p>
    <w:p>
      <w:pPr>
        <w:rPr>
          <w:rFonts w:hint="default"/>
          <w:lang w:val="en-US" w:eastAsia="zh-CN"/>
        </w:rPr>
      </w:pPr>
    </w:p>
    <w:p>
      <w:pPr>
        <w:rPr>
          <w:rFonts w:hint="default"/>
          <w:lang w:val="en-US" w:eastAsia="zh-CN"/>
        </w:rPr>
      </w:pPr>
      <w:r>
        <w:rPr>
          <w:rFonts w:hint="default"/>
          <w:lang w:val="en-US" w:eastAsia="zh-CN"/>
        </w:rPr>
        <w:t>神经性厌食症西医治疗方法</w:t>
      </w:r>
    </w:p>
    <w:p>
      <w:pPr>
        <w:rPr>
          <w:rFonts w:hint="default"/>
          <w:lang w:val="en-US" w:eastAsia="zh-CN"/>
        </w:rPr>
      </w:pPr>
      <w:r>
        <w:rPr>
          <w:rFonts w:hint="default"/>
          <w:lang w:val="en-US" w:eastAsia="zh-CN"/>
        </w:rPr>
        <w:t>（1）多数病人需住院治疗，严重者需强制入院。</w:t>
      </w:r>
    </w:p>
    <w:p>
      <w:pPr>
        <w:rPr>
          <w:rFonts w:hint="default"/>
          <w:lang w:val="en-US" w:eastAsia="zh-CN"/>
        </w:rPr>
      </w:pPr>
      <w:r>
        <w:rPr>
          <w:rFonts w:hint="default"/>
          <w:lang w:val="en-US" w:eastAsia="zh-CN"/>
        </w:rPr>
        <w:t>（2）全身支持疗法。</w:t>
      </w:r>
    </w:p>
    <w:p>
      <w:pPr>
        <w:rPr>
          <w:rFonts w:hint="default"/>
          <w:lang w:val="en-US" w:eastAsia="zh-CN"/>
        </w:rPr>
      </w:pPr>
      <w:r>
        <w:rPr>
          <w:rFonts w:hint="default"/>
          <w:lang w:val="en-US" w:eastAsia="zh-CN"/>
        </w:rPr>
        <w:t>（3）药物治疗：</w:t>
      </w:r>
    </w:p>
    <w:p>
      <w:pPr>
        <w:rPr>
          <w:rFonts w:hint="default"/>
          <w:lang w:val="en-US" w:eastAsia="zh-CN"/>
        </w:rPr>
      </w:pPr>
      <w:r>
        <w:rPr>
          <w:rFonts w:hint="default"/>
          <w:lang w:val="en-US" w:eastAsia="zh-CN"/>
        </w:rPr>
        <w:t>1）抗精神病药物。主要用舒必利和氯丙嗪，有助于减轻进食焦虑，降低代谢和增加体重</w:t>
      </w:r>
      <w:r>
        <w:rPr>
          <w:rFonts w:hint="eastAsia"/>
          <w:lang w:val="en-US" w:eastAsia="zh-CN"/>
        </w:rPr>
        <w:t>。</w:t>
      </w:r>
      <w:r>
        <w:rPr>
          <w:rFonts w:hint="default"/>
          <w:lang w:val="en-US" w:eastAsia="zh-CN"/>
        </w:rPr>
        <w:t>　</w:t>
      </w:r>
    </w:p>
    <w:p>
      <w:pPr>
        <w:rPr>
          <w:rFonts w:hint="default"/>
          <w:lang w:val="en-US" w:eastAsia="zh-CN"/>
        </w:rPr>
      </w:pPr>
      <w:r>
        <w:rPr>
          <w:rFonts w:hint="default"/>
          <w:lang w:val="en-US" w:eastAsia="zh-CN"/>
        </w:rPr>
        <w:t>2）抗抑郁剂</w:t>
      </w:r>
      <w:r>
        <w:rPr>
          <w:rFonts w:hint="eastAsia"/>
          <w:lang w:val="en-US" w:eastAsia="zh-CN"/>
        </w:rPr>
        <w:t>：</w:t>
      </w:r>
      <w:r>
        <w:rPr>
          <w:rFonts w:hint="default"/>
          <w:lang w:val="en-US" w:eastAsia="zh-CN"/>
        </w:rPr>
        <w:t>对于伴抑郁症状者，可用氯米帕明之类的抗抑郁药，既可使抑郁症状改善，又可增加食欲和体重。</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"https://bestpractice.bmj.com/topics/zh-cn/440/management-approach" </w:instrText>
      </w:r>
      <w:r>
        <w:rPr>
          <w:rFonts w:hint="default"/>
          <w:lang w:val="en-US" w:eastAsia="zh-CN"/>
        </w:rPr>
        <w:fldChar w:fldCharType="separate"/>
      </w:r>
      <w:r>
        <w:rPr>
          <w:rStyle w:val="8"/>
          <w:rFonts w:hint="default"/>
          <w:lang w:val="en-US" w:eastAsia="zh-CN"/>
        </w:rPr>
        <w:t>https://bestpractice.bmj.com/topics/zh-cn/440/management-approach</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预防复发</w:t>
      </w:r>
    </w:p>
    <w:p>
      <w:pPr>
        <w:rPr>
          <w:rFonts w:hint="default"/>
          <w:lang w:val="en-US" w:eastAsia="zh-CN"/>
        </w:rPr>
      </w:pPr>
      <w:r>
        <w:rPr>
          <w:rFonts w:hint="default"/>
          <w:lang w:val="en-US" w:eastAsia="zh-CN"/>
        </w:rPr>
        <w:t>处理急性 AN 之后应进行以预防复发为目的的长期治疗。体重恢复后，复发预防治疗通常应包括与 1 名或更多临床医师进行定期门诊会面，时间持续 1 年或以上。治疗应包括体重监测和营养计划的一般监测。与医师讨论的内容可能侧重于维持健康饮食和体重的策略，以及避免再次出现易引起体重减轻的情况。有少量证据表明 CBT 可能有助于预防复发。[45] 成功的治疗通常包括从食物、饮食和体重问题的讨论过渡到讨论随着进食障碍稳定而可能出现且与患者相关的其他生活问题。对于某些患者来说，这种门诊治疗会持续几年。</w:t>
      </w:r>
    </w:p>
    <w:p>
      <w:pPr>
        <w:rPr>
          <w:rFonts w:hint="default"/>
          <w:lang w:val="en-US" w:eastAsia="zh-CN"/>
        </w:rPr>
      </w:pPr>
    </w:p>
    <w:p>
      <w:pPr>
        <w:rPr>
          <w:rFonts w:hint="default"/>
          <w:lang w:val="en-US" w:eastAsia="zh-CN"/>
        </w:rPr>
      </w:pPr>
      <w:r>
        <w:rPr>
          <w:rFonts w:hint="default"/>
          <w:lang w:val="en-US" w:eastAsia="zh-CN"/>
        </w:rPr>
        <w:t>药物治疗</w:t>
      </w:r>
    </w:p>
    <w:p>
      <w:pPr>
        <w:rPr>
          <w:rFonts w:hint="default"/>
          <w:lang w:val="en-US" w:eastAsia="zh-CN"/>
        </w:rPr>
      </w:pPr>
      <w:r>
        <w:rPr>
          <w:rFonts w:hint="default"/>
          <w:lang w:val="en-US" w:eastAsia="zh-CN"/>
        </w:rPr>
        <w:t>虽然 AN 的一些严重症状与某些通过药物可成功治疗疾病的症状相重叠，但药物治疗对AN患者明显无效。有研究将几种抗抑郁药物与安慰剂进行了比较，结果显示没有一种抗抑郁药能够改善进食、体重、情绪或焦虑症状。[55][56][57][58] 尽管有这些数据，临床医师经常为 AN 患者开具选择性 5-羟色胺再摄取抑制剂 (SSRI)，可能是因为缺乏对证据基础的认识、对此临床人群治疗选择有限而感到沮丧以及这些药物的风险相对较低。</w:t>
      </w:r>
    </w:p>
    <w:p>
      <w:pPr>
        <w:rPr>
          <w:rFonts w:hint="default"/>
          <w:lang w:val="en-US" w:eastAsia="zh-CN"/>
        </w:rPr>
      </w:pPr>
      <w:r>
        <w:rPr>
          <w:rFonts w:hint="default"/>
          <w:lang w:val="en-US" w:eastAsia="zh-CN"/>
        </w:rPr>
        <w:t>在针对 AN 患者小型试验中，已经对其他类别的药物（包括能刺激其他临床人群食欲的药物）进行了评估，但没有发现任何显著的益处。</w:t>
      </w:r>
    </w:p>
    <w:p>
      <w:pPr>
        <w:rPr>
          <w:rFonts w:hint="default"/>
          <w:lang w:val="en-US" w:eastAsia="zh-CN"/>
        </w:rPr>
      </w:pPr>
      <w:r>
        <w:rPr>
          <w:rFonts w:hint="default"/>
          <w:lang w:val="en-US" w:eastAsia="zh-CN"/>
        </w:rPr>
        <w:t>推测 AN 患者的营养不良状态导致其对能使其他疾病症状缓解的药物反应不佳。对于低体重的 AN 患者，除了使用精神病治疗药物无效外，口服外源性激素药物也无法改善骨骼健康。[59]</w:t>
      </w:r>
    </w:p>
    <w:p>
      <w:pPr>
        <w:rPr>
          <w:rFonts w:hint="default"/>
          <w:lang w:val="en-US" w:eastAsia="zh-CN"/>
        </w:rPr>
      </w:pPr>
    </w:p>
    <w:p>
      <w:pPr>
        <w:rPr>
          <w:rFonts w:hint="default"/>
          <w:lang w:val="en-US" w:eastAsia="zh-CN"/>
        </w:rPr>
      </w:pPr>
      <w:r>
        <w:rPr>
          <w:rFonts w:hint="default"/>
          <w:lang w:val="en-US" w:eastAsia="zh-CN"/>
        </w:rPr>
        <w:t>共病</w:t>
      </w:r>
    </w:p>
    <w:p>
      <w:pPr>
        <w:rPr>
          <w:rFonts w:hint="default"/>
          <w:lang w:val="en-US" w:eastAsia="zh-CN"/>
        </w:rPr>
      </w:pPr>
      <w:r>
        <w:rPr>
          <w:rFonts w:hint="default"/>
          <w:highlight w:val="yellow"/>
          <w:lang w:val="en-US" w:eastAsia="zh-CN"/>
        </w:rPr>
        <w:t>心境障碍、焦虑症和强迫症是 AN 患者最常见的共病</w:t>
      </w:r>
      <w:r>
        <w:rPr>
          <w:rFonts w:hint="default"/>
          <w:lang w:val="en-US" w:eastAsia="zh-CN"/>
        </w:rPr>
        <w:t>。由于 AN 与这些疾病之间的有症状重叠，可能难以诊断这些疾病。因此，当存在 AN 时，最好在证实心境障碍和/或焦虑症诊断之前帮助患者恢复正常体重。虽然选择性 5-羟色胺再摄取抑制剂 (SSRI) 和其他抗抑郁药物对</w:t>
      </w:r>
      <w:bookmarkStart w:id="1" w:name="OLE_LINK3"/>
      <w:r>
        <w:rPr>
          <w:rFonts w:hint="default"/>
          <w:lang w:val="en-US" w:eastAsia="zh-CN"/>
        </w:rPr>
        <w:t>治疗体重正常人群的心境障碍和焦虑症是</w:t>
      </w:r>
      <w:bookmarkEnd w:id="1"/>
      <w:r>
        <w:rPr>
          <w:rFonts w:hint="default"/>
          <w:lang w:val="en-US" w:eastAsia="zh-CN"/>
        </w:rPr>
        <w:t>有效的，但是当体重低时，这些药物可能不那么有效。物质使用障碍也可能与 AN 共存。与限制性亚型的患者相比，物质使用在具有暴食/催吐亚型的患者中更为普遍。</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"http://meeting.dxy.cn/specials/csp2016/article/503144" </w:instrText>
      </w:r>
      <w:r>
        <w:rPr>
          <w:rFonts w:hint="default"/>
          <w:lang w:val="en-US" w:eastAsia="zh-CN"/>
        </w:rPr>
        <w:fldChar w:fldCharType="separate"/>
      </w:r>
      <w:r>
        <w:rPr>
          <w:rStyle w:val="8"/>
          <w:rFonts w:hint="default"/>
          <w:lang w:val="en-US" w:eastAsia="zh-CN"/>
        </w:rPr>
        <w:t>http://meeting.dxy.cn/specials/csp2016/article/503144</w:t>
      </w:r>
      <w:r>
        <w:rPr>
          <w:rFonts w:hint="default"/>
          <w:lang w:val="en-US" w:eastAsia="zh-CN"/>
        </w:rPr>
        <w:fldChar w:fldCharType="end"/>
      </w:r>
    </w:p>
    <w:p>
      <w:pPr>
        <w:rPr>
          <w:rFonts w:hint="default"/>
          <w:lang w:val="en-US" w:eastAsia="zh-CN"/>
        </w:rPr>
      </w:pPr>
      <w:r>
        <w:rPr>
          <w:rFonts w:hint="default"/>
          <w:u w:val="single"/>
          <w:lang w:val="en-US" w:eastAsia="zh-CN"/>
        </w:rPr>
        <w:t>流行病学是进食障碍最大的研究障碍</w:t>
      </w:r>
      <w:r>
        <w:rPr>
          <w:rFonts w:hint="default"/>
          <w:lang w:val="en-US" w:eastAsia="zh-CN"/>
        </w:rPr>
        <w:t>，由于病人不坦诚相告等偏倚，</w:t>
      </w:r>
      <w:r>
        <w:rPr>
          <w:rFonts w:hint="default"/>
          <w:b/>
          <w:bCs/>
          <w:u w:val="single"/>
          <w:lang w:val="en-US" w:eastAsia="zh-CN"/>
        </w:rPr>
        <w:t>进食障碍的发病率和患病率等流行病学数据依据样本和统计方法不同而不同</w:t>
      </w:r>
      <w:r>
        <w:rPr>
          <w:rFonts w:hint="default"/>
          <w:b/>
          <w:bCs/>
          <w:lang w:val="en-US" w:eastAsia="zh-CN"/>
        </w:rPr>
        <w:t>，神经性厌食和神经性贪食尚有严格符合 ICD 或 DSM 中定义的样本数据</w:t>
      </w:r>
      <w:r>
        <w:rPr>
          <w:rFonts w:hint="default"/>
          <w:lang w:val="en-US" w:eastAsia="zh-CN"/>
        </w:rPr>
        <w:t>，而非典型进食障碍和暴食障碍的流行病学资料非常有限。</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"http://meeting.dxy.cn/specials/csp2016/article/503144" </w:instrText>
      </w:r>
      <w:r>
        <w:rPr>
          <w:rFonts w:hint="default"/>
          <w:lang w:val="en-US" w:eastAsia="zh-CN"/>
        </w:rPr>
        <w:fldChar w:fldCharType="separate"/>
      </w:r>
      <w:r>
        <w:rPr>
          <w:rStyle w:val="8"/>
          <w:rFonts w:hint="default"/>
          <w:lang w:val="en-US" w:eastAsia="zh-CN"/>
        </w:rPr>
        <w:t>http://meeting.dxy.cn/specials/csp2016/article/503144</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二、神经性厌食症实用网页：</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"https://bestpractice.bmj.com/topics/zh-cn/440/management-approach" </w:instrText>
      </w:r>
      <w:r>
        <w:rPr>
          <w:rFonts w:hint="default"/>
          <w:lang w:val="en-US" w:eastAsia="zh-CN"/>
        </w:rPr>
        <w:fldChar w:fldCharType="separate"/>
      </w:r>
      <w:r>
        <w:rPr>
          <w:rStyle w:val="8"/>
          <w:rFonts w:hint="default"/>
          <w:lang w:val="en-US" w:eastAsia="zh-CN"/>
        </w:rPr>
        <w:t>https://bestpractice.bmj.com/topics/zh-cn/440/management-approach</w:t>
      </w:r>
      <w:r>
        <w:rPr>
          <w:rFonts w:hint="default"/>
          <w:lang w:val="en-US" w:eastAsia="zh-CN"/>
        </w:rPr>
        <w:fldChar w:fldCharType="end"/>
      </w:r>
      <w:bookmarkStart w:id="2" w:name="OLE_LINK2"/>
    </w:p>
    <w:bookmarkEnd w:id="2"/>
    <w:p>
      <w:pPr>
        <w:rPr>
          <w:rFonts w:hint="default"/>
          <w:lang w:val="en-US" w:eastAsia="zh-CN"/>
        </w:rPr>
      </w:pPr>
      <w:r>
        <w:rPr>
          <w:rFonts w:hint="default"/>
          <w:lang w:val="en-US" w:eastAsia="zh-CN"/>
        </w:rPr>
        <w:fldChar w:fldCharType="begin"/>
      </w:r>
      <w:r>
        <w:rPr>
          <w:rFonts w:hint="default"/>
          <w:lang w:val="en-US" w:eastAsia="zh-CN"/>
        </w:rPr>
        <w:instrText xml:space="preserve"> HYPERLINK "http://eddb.cbi.pku.edu.cn." </w:instrText>
      </w:r>
      <w:r>
        <w:rPr>
          <w:rFonts w:hint="default"/>
          <w:lang w:val="en-US" w:eastAsia="zh-CN"/>
        </w:rPr>
        <w:fldChar w:fldCharType="separate"/>
      </w:r>
      <w:r>
        <w:rPr>
          <w:rStyle w:val="8"/>
          <w:rFonts w:hint="default"/>
          <w:lang w:val="en-US" w:eastAsia="zh-CN"/>
        </w:rPr>
        <w:t>http://eddb.cbi.pku.edu.cn.</w:t>
      </w:r>
      <w:r>
        <w:rPr>
          <w:rFonts w:hint="default"/>
          <w:lang w:val="en-US" w:eastAsia="zh-CN"/>
        </w:rPr>
        <w:fldChar w:fldCharType="end"/>
      </w:r>
    </w:p>
    <w:p>
      <w:pPr>
        <w:rPr>
          <w:rFonts w:hint="default"/>
          <w:lang w:val="en-US" w:eastAsia="zh-CN"/>
        </w:rPr>
      </w:pPr>
    </w:p>
    <w:p>
      <w:pPr>
        <w:numPr>
          <w:ilvl w:val="0"/>
          <w:numId w:val="4"/>
        </w:numPr>
        <w:rPr>
          <w:rFonts w:hint="eastAsia"/>
          <w:lang w:val="en-US" w:eastAsia="zh-CN"/>
        </w:rPr>
      </w:pPr>
      <w:r>
        <w:rPr>
          <w:rFonts w:hint="eastAsia"/>
          <w:lang w:val="en-US" w:eastAsia="zh-CN"/>
        </w:rPr>
        <w:t>相似的以疾病为出发点的数据库：</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hmkpnTimes-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7BD9FA"/>
    <w:multiLevelType w:val="singleLevel"/>
    <w:tmpl w:val="A37BD9FA"/>
    <w:lvl w:ilvl="0" w:tentative="0">
      <w:start w:val="1"/>
      <w:numFmt w:val="decimal"/>
      <w:suff w:val="space"/>
      <w:lvlText w:val="%1."/>
      <w:lvlJc w:val="left"/>
    </w:lvl>
  </w:abstractNum>
  <w:abstractNum w:abstractNumId="1">
    <w:nsid w:val="C0DA3AA0"/>
    <w:multiLevelType w:val="singleLevel"/>
    <w:tmpl w:val="C0DA3AA0"/>
    <w:lvl w:ilvl="0" w:tentative="0">
      <w:start w:val="1"/>
      <w:numFmt w:val="decimal"/>
      <w:suff w:val="nothing"/>
      <w:lvlText w:val="（%1）"/>
      <w:lvlJc w:val="left"/>
    </w:lvl>
  </w:abstractNum>
  <w:abstractNum w:abstractNumId="2">
    <w:nsid w:val="D9BBEB3A"/>
    <w:multiLevelType w:val="singleLevel"/>
    <w:tmpl w:val="D9BBEB3A"/>
    <w:lvl w:ilvl="0" w:tentative="0">
      <w:start w:val="3"/>
      <w:numFmt w:val="chineseCounting"/>
      <w:suff w:val="nothing"/>
      <w:lvlText w:val="%1、"/>
      <w:lvlJc w:val="left"/>
      <w:rPr>
        <w:rFonts w:hint="eastAsia"/>
      </w:rPr>
    </w:lvl>
  </w:abstractNum>
  <w:abstractNum w:abstractNumId="3">
    <w:nsid w:val="32239B25"/>
    <w:multiLevelType w:val="singleLevel"/>
    <w:tmpl w:val="32239B25"/>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E6274"/>
    <w:rsid w:val="03F87FF9"/>
    <w:rsid w:val="05153A4A"/>
    <w:rsid w:val="069F244D"/>
    <w:rsid w:val="06E7543E"/>
    <w:rsid w:val="06F550D6"/>
    <w:rsid w:val="078F3516"/>
    <w:rsid w:val="089534D2"/>
    <w:rsid w:val="08D05F5B"/>
    <w:rsid w:val="09EB61B4"/>
    <w:rsid w:val="0AC33488"/>
    <w:rsid w:val="0B447D01"/>
    <w:rsid w:val="0BA311F3"/>
    <w:rsid w:val="0C930A73"/>
    <w:rsid w:val="0D6A0D53"/>
    <w:rsid w:val="0EC843A0"/>
    <w:rsid w:val="0FE73A7D"/>
    <w:rsid w:val="12B978B9"/>
    <w:rsid w:val="13F548C5"/>
    <w:rsid w:val="13FB4499"/>
    <w:rsid w:val="14DE592B"/>
    <w:rsid w:val="14E259B4"/>
    <w:rsid w:val="15C642D8"/>
    <w:rsid w:val="16630FA9"/>
    <w:rsid w:val="16BB318B"/>
    <w:rsid w:val="175F5D42"/>
    <w:rsid w:val="17C34572"/>
    <w:rsid w:val="19F856A4"/>
    <w:rsid w:val="1B007F27"/>
    <w:rsid w:val="1B933D16"/>
    <w:rsid w:val="1B966521"/>
    <w:rsid w:val="1BB97EF3"/>
    <w:rsid w:val="1BFF1C5D"/>
    <w:rsid w:val="1C916CE7"/>
    <w:rsid w:val="1EEC2823"/>
    <w:rsid w:val="203B510A"/>
    <w:rsid w:val="20671A39"/>
    <w:rsid w:val="22830A9B"/>
    <w:rsid w:val="22C42BEF"/>
    <w:rsid w:val="22D63970"/>
    <w:rsid w:val="23604F1B"/>
    <w:rsid w:val="23BF604A"/>
    <w:rsid w:val="24357A15"/>
    <w:rsid w:val="24BF1C7E"/>
    <w:rsid w:val="263E4568"/>
    <w:rsid w:val="288B1D7F"/>
    <w:rsid w:val="289938E1"/>
    <w:rsid w:val="2946641E"/>
    <w:rsid w:val="2AFA0B6E"/>
    <w:rsid w:val="2B744473"/>
    <w:rsid w:val="2B8A34C4"/>
    <w:rsid w:val="2BCE3E74"/>
    <w:rsid w:val="2C2F6B11"/>
    <w:rsid w:val="2DA21BB6"/>
    <w:rsid w:val="2DF50E3C"/>
    <w:rsid w:val="2DFE181F"/>
    <w:rsid w:val="30BA231E"/>
    <w:rsid w:val="32E0793A"/>
    <w:rsid w:val="33390D6A"/>
    <w:rsid w:val="33552494"/>
    <w:rsid w:val="33DC5B0D"/>
    <w:rsid w:val="34194992"/>
    <w:rsid w:val="36D1541D"/>
    <w:rsid w:val="375009E9"/>
    <w:rsid w:val="38336107"/>
    <w:rsid w:val="38E76E4B"/>
    <w:rsid w:val="3B55226F"/>
    <w:rsid w:val="3BEA4A19"/>
    <w:rsid w:val="3BFD213B"/>
    <w:rsid w:val="3D3B262F"/>
    <w:rsid w:val="3E561066"/>
    <w:rsid w:val="3E6E45BA"/>
    <w:rsid w:val="40353071"/>
    <w:rsid w:val="410C4FC2"/>
    <w:rsid w:val="41613BBA"/>
    <w:rsid w:val="421121D8"/>
    <w:rsid w:val="4296645B"/>
    <w:rsid w:val="43293DD3"/>
    <w:rsid w:val="43321CFE"/>
    <w:rsid w:val="43A24E5E"/>
    <w:rsid w:val="43EE7D9A"/>
    <w:rsid w:val="44FD4380"/>
    <w:rsid w:val="45217F38"/>
    <w:rsid w:val="462555E6"/>
    <w:rsid w:val="47696D66"/>
    <w:rsid w:val="49000090"/>
    <w:rsid w:val="4A791FAB"/>
    <w:rsid w:val="4BA767BB"/>
    <w:rsid w:val="4C381B22"/>
    <w:rsid w:val="4E04430F"/>
    <w:rsid w:val="4E1962E3"/>
    <w:rsid w:val="4F8B40B6"/>
    <w:rsid w:val="50F376DA"/>
    <w:rsid w:val="50FE03A9"/>
    <w:rsid w:val="51044749"/>
    <w:rsid w:val="515B2830"/>
    <w:rsid w:val="51D1169A"/>
    <w:rsid w:val="52526F75"/>
    <w:rsid w:val="53EE1DE4"/>
    <w:rsid w:val="5482783B"/>
    <w:rsid w:val="548C6BED"/>
    <w:rsid w:val="54AE3450"/>
    <w:rsid w:val="54DB2D9D"/>
    <w:rsid w:val="57B44026"/>
    <w:rsid w:val="57C658A1"/>
    <w:rsid w:val="58A96C95"/>
    <w:rsid w:val="58B8665E"/>
    <w:rsid w:val="595B2497"/>
    <w:rsid w:val="598A427E"/>
    <w:rsid w:val="5B5873BB"/>
    <w:rsid w:val="5C372CE2"/>
    <w:rsid w:val="5FDC17B7"/>
    <w:rsid w:val="603F1549"/>
    <w:rsid w:val="629F65B1"/>
    <w:rsid w:val="648D294E"/>
    <w:rsid w:val="651E7CF3"/>
    <w:rsid w:val="66060B28"/>
    <w:rsid w:val="667B19F9"/>
    <w:rsid w:val="667B7AF1"/>
    <w:rsid w:val="67174DDA"/>
    <w:rsid w:val="683728BE"/>
    <w:rsid w:val="693144DB"/>
    <w:rsid w:val="6A5350CB"/>
    <w:rsid w:val="6CED213D"/>
    <w:rsid w:val="6D275A77"/>
    <w:rsid w:val="6D4A4306"/>
    <w:rsid w:val="6ED142DE"/>
    <w:rsid w:val="6F7D01CE"/>
    <w:rsid w:val="70A0062A"/>
    <w:rsid w:val="730C04AD"/>
    <w:rsid w:val="73721911"/>
    <w:rsid w:val="73762DD5"/>
    <w:rsid w:val="73AB6A87"/>
    <w:rsid w:val="73AF1C94"/>
    <w:rsid w:val="73ED0BE6"/>
    <w:rsid w:val="742B4033"/>
    <w:rsid w:val="7460203E"/>
    <w:rsid w:val="74713144"/>
    <w:rsid w:val="76394F96"/>
    <w:rsid w:val="76731B1D"/>
    <w:rsid w:val="76891EE1"/>
    <w:rsid w:val="793917DE"/>
    <w:rsid w:val="79A2654A"/>
    <w:rsid w:val="7A9A73DB"/>
    <w:rsid w:val="7AEE5FE3"/>
    <w:rsid w:val="7B9F5A5E"/>
    <w:rsid w:val="7BA818DD"/>
    <w:rsid w:val="7EA12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576" w:lineRule="auto"/>
      <w:jc w:val="center"/>
      <w:outlineLvl w:val="0"/>
    </w:pPr>
    <w:rPr>
      <w:rFonts w:asciiTheme="minorAscii" w:hAnsiTheme="minorAscii"/>
      <w:b/>
      <w:kern w:val="44"/>
      <w:sz w:val="24"/>
    </w:rPr>
  </w:style>
  <w:style w:type="paragraph" w:styleId="3">
    <w:name w:val="heading 2"/>
    <w:basedOn w:val="1"/>
    <w:next w:val="1"/>
    <w:link w:val="9"/>
    <w:unhideWhenUsed/>
    <w:qFormat/>
    <w:uiPriority w:val="0"/>
    <w:pPr>
      <w:keepNext/>
      <w:keepLines/>
      <w:spacing w:before="50" w:beforeLines="50" w:beforeAutospacing="0" w:after="50" w:afterLines="50" w:afterAutospacing="0" w:line="240" w:lineRule="auto"/>
      <w:outlineLvl w:val="1"/>
    </w:pPr>
    <w:rPr>
      <w:rFonts w:ascii="Arial" w:hAnsi="Arial" w:eastAsia="宋体"/>
      <w:b/>
    </w:rPr>
  </w:style>
  <w:style w:type="paragraph" w:styleId="4">
    <w:name w:val="heading 3"/>
    <w:basedOn w:val="1"/>
    <w:next w:val="1"/>
    <w:semiHidden/>
    <w:unhideWhenUsed/>
    <w:qFormat/>
    <w:uiPriority w:val="0"/>
    <w:pPr>
      <w:keepNext/>
      <w:keepLines/>
      <w:spacing w:before="50" w:beforeLines="50" w:beforeAutospacing="0" w:after="50" w:afterLines="50" w:afterAutospacing="0" w:line="240" w:lineRule="auto"/>
      <w:outlineLvl w:val="2"/>
    </w:p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 w:type="character" w:customStyle="1" w:styleId="9">
    <w:name w:val="标题 2 Char"/>
    <w:link w:val="3"/>
    <w:qFormat/>
    <w:uiPriority w:val="0"/>
    <w:rPr>
      <w:rFonts w:ascii="Arial" w:hAnsi="Arial" w:eastAsia="宋体"/>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2021-01-20T09:25:00Z</dcterms:created>
  <dc:creator>CYC</dc:creator>
  <cp:lastModifiedBy>CYC</cp:lastModifiedBy>
  <dcterms:modified xsi:type="dcterms:W3CDTF">2021-01-20T12:12:21Z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