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60" w:after="320"/>
        <w:jc w:val="center"/>
      </w:pPr>
      <w:r>
        <w:rPr>
          <w:rFonts w:ascii="Calibri" w:hAnsi="Calibri" w:eastAsia="Microsoft YaHei"/>
          <w:b/>
          <w:color w:val="2E74B5"/>
          <w:sz w:val="21"/>
        </w:rPr>
        <w:t>TECHNICAL WHITE PAPER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0B2545"/>
          <w:sz w:val="58"/>
        </w:rPr>
        <w:t>企业知识库数据清洗治理</w:t>
      </w:r>
    </w:p>
    <w:p>
      <w:pPr>
        <w:spacing w:after="480"/>
        <w:jc w:val="center"/>
      </w:pPr>
      <w:r>
        <w:rPr>
          <w:rFonts w:ascii="Calibri" w:hAnsi="Calibri" w:eastAsia="Microsoft YaHei"/>
          <w:color w:val="1F4D78"/>
          <w:sz w:val="28"/>
        </w:rPr>
        <w:t>从原始文档到可发布知识对象的企业级方法论</w:t>
      </w:r>
    </w:p>
    <w:p>
      <w:pPr>
        <w:spacing w:before="440" w:after="160"/>
        <w:jc w:val="center"/>
      </w:pPr>
      <w:r>
        <w:rPr>
          <w:rFonts w:ascii="Calibri" w:hAnsi="Calibri" w:eastAsia="Microsoft YaHei"/>
          <w:color w:val="666666"/>
          <w:sz w:val="22"/>
        </w:rPr>
        <w:t>适用于企业知识库、检索增强生成与文档治理项目</w:t>
      </w:r>
    </w:p>
    <w:p>
      <w:pPr>
        <w:jc w:val="center"/>
      </w:pPr>
      <w:r>
        <w:rPr>
          <w:rFonts w:ascii="Calibri" w:hAnsi="Calibri" w:eastAsia="Microsoft YaHei"/>
          <w:color w:val="666666"/>
          <w:sz w:val="20"/>
        </w:rPr>
        <w:t>版本 1.0 | 2026-07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执行摘要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企业知识库的离线构建不能被简化为“文本清洗、分块、向量化、存储”四个技术动作。它本质上是一条知识发布供应链：原始文档经过解析、规范化、语义治理、质量与安全门禁后，才成为可被检索、引用和回答的知识对象。任何一步缺少责任、证据或回滚能力，都会使后续向量检索放大错误、过期或敏感内容。</w:t>
      </w:r>
    </w:p>
    <w:p>
      <w:pPr>
        <w:spacing w:before="100" w:after="180" w:line="288" w:lineRule="auto"/>
        <w:ind w:left="259" w:right="259"/>
        <w:shd w:fill="F4F6F9"/>
      </w:pPr>
      <w:r>
        <w:rPr>
          <w:rFonts w:ascii="Calibri" w:hAnsi="Calibri" w:eastAsia="Microsoft YaHei"/>
          <w:b/>
          <w:color w:val="1F3A5F"/>
          <w:sz w:val="21"/>
        </w:rPr>
        <w:t>白皮书结论：</w:t>
      </w:r>
      <w:r>
        <w:rPr>
          <w:rFonts w:ascii="Calibri" w:hAnsi="Calibri" w:eastAsia="Microsoft YaHei"/>
          <w:sz w:val="21"/>
        </w:rPr>
        <w:t>企业级数据清洗的完成条件不是文本变干净，而是每个候选知识对象都能说明来源、适用范围、处理规则、风险状态、发布范围和责任主体。</w:t>
      </w:r>
    </w:p>
    <w:p>
      <w:pPr>
        <w:keepNext/>
        <w:spacing w:before="80" w:after="80"/>
      </w:pPr>
      <w:r>
        <w:rPr>
          <w:rFonts w:ascii="Calibri" w:hAnsi="Calibri" w:eastAsia="Microsoft YaHei"/>
          <w:b/>
          <w:color w:val="666666"/>
          <w:sz w:val="18"/>
        </w:rPr>
        <w:t>表 1  本白皮书的核心主张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3500"/>
        <w:gridCol w:w="3560"/>
      </w:tblGrid>
      <w:tr>
        <w:trPr>
          <w:tblHeader w:val="true"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主张</w:t>
            </w:r>
          </w:p>
        </w:tc>
        <w:tc>
          <w:tcPr>
            <w:tcW w:type="dxa" w:w="3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含义</w:t>
            </w:r>
          </w:p>
        </w:tc>
        <w:tc>
          <w:tcPr>
            <w:tcW w:type="dxa" w:w="3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对项目的直接要求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从处理转向发布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清洗结果必须经过质量、安全、业务三类门禁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建立 PASS / REVIEW / BLOCK 决策模型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从规则集合转向规则治理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规则需要版本、负责人、测试和回滚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采用规则契约与规则包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从通用文本转向业务语义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不同业务域拥有不同的可发布边界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按知识域建设业务规则包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从一次性加工转向持续运营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文档与规则都会失效、冲突或被撤回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监控质量、抽检、灰度与删除传播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本文先给出理论框架和参考治理模型，暂不展开课程设计与代码实现。后续教学案例与工程实现应以本白皮书中的数据契约、规则契约、质量门禁和运营指标为共同基线。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1. 问题边界与术语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1.1 适用范围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本白皮书适用于企业内部制度、产品与客服文档、技术运维资料、项目材料、合同与采购资料等非结构化或半结构化内容，在进入企业搜索、知识库或检索增强生成系统之前的离线治理。它覆盖文档级和片段级处理，但不替代源系统的主数据管理、权限系统或法律合规制度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1.2 关键术语</w:t>
      </w:r>
    </w:p>
    <w:p>
      <w:pPr>
        <w:keepNext/>
        <w:spacing w:before="80" w:after="80"/>
      </w:pPr>
      <w:r>
        <w:rPr>
          <w:rFonts w:ascii="Calibri" w:hAnsi="Calibri" w:eastAsia="Microsoft YaHei"/>
          <w:b/>
          <w:color w:val="666666"/>
          <w:sz w:val="18"/>
        </w:rPr>
        <w:t>表 2  关键术语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4450"/>
        <w:gridCol w:w="311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术语</w:t>
            </w:r>
          </w:p>
        </w:tc>
        <w:tc>
          <w:tcPr>
            <w:tcW w:type="dxa" w:w="4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定义</w:t>
            </w:r>
          </w:p>
        </w:tc>
        <w:tc>
          <w:tcPr>
            <w:tcW w:type="dxa" w:w="31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易混淆点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原始文档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从来源系统取得、未经覆盖的原始内容及其元数据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原始文档不是可直接索引的文本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清洗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去除噪声、规范结构、最小化敏感信息的确定性处理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清洗不等于业务批准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业务语义治理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围绕状态、范围、术语、实体、冲突和风险进行的领域判断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不能仅靠正则表达式解决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知识对象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可被检索和引用的正文、元数据、证据定位与发布状态的组合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不是孤立的向量片段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发布门禁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决定候选知识是否可进入目标知识空间的控制点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解析成功不代表可以发布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血缘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来源、版本、规则、处理、审批和发布之间的可追溯关系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不能只记录文件路径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1.3 企业级离线链路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建议采用“接入与解析 → 通用清洗与安全识别 → 业务语义治理 → 发布质量与安全裁决 → 分块 → 向量化 → 索引与发布 → 持续运营”的参考链路。分块和向量化位于治理之后：一旦把未获批准、过期或含凭据的文本向量化，后续撤回和泄漏处置的成本会显著上升。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sz w:val="22"/>
        </w:rPr>
        <w:t>接入与解析：识别文件格式、来源、结构、附件、版本和解析可靠性。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sz w:val="22"/>
        </w:rPr>
        <w:t>通用清洗：处理编码、空白、噪声、结构、PII、凭据和内部网络信息。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sz w:val="22"/>
        </w:rPr>
        <w:t>业务语义治理：识别状态、范围、术语、实体、冲突、风险和可回答性。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sz w:val="22"/>
        </w:rPr>
        <w:t>发布门禁：汇总命中证据，生成通过、复核或阻断的可解释决策。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sz w:val="22"/>
        </w:rPr>
        <w:t>索引构建：针对已发布知识对象分块、向量化、写入索引并保留证据定位。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sz w:val="22"/>
        </w:rPr>
        <w:t>持续运营：对来源变更、规则变更、用户反馈和撤回请求进行再处理。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2. 设计目标与非目标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2.1 四个设计目标</w:t>
      </w:r>
    </w:p>
    <w:p>
      <w:pPr>
        <w:keepNext/>
        <w:spacing w:before="80" w:after="80"/>
      </w:pPr>
      <w:r>
        <w:rPr>
          <w:rFonts w:ascii="Calibri" w:hAnsi="Calibri" w:eastAsia="Microsoft YaHei"/>
          <w:b/>
          <w:color w:val="666666"/>
          <w:sz w:val="18"/>
        </w:rPr>
        <w:t>表 3  企业级治理目标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4300"/>
        <w:gridCol w:w="356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</w:t>
            </w:r>
          </w:p>
        </w:tc>
        <w:tc>
          <w:tcPr>
            <w:tcW w:type="dxa" w:w="4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需要回答的问题</w:t>
            </w:r>
          </w:p>
        </w:tc>
        <w:tc>
          <w:tcPr>
            <w:tcW w:type="dxa" w:w="3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可验证结果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可信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这份知识是否来自权威来源、处于有效版本、可引用原文？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来源、版本、章节锚点和有效期完整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可用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用户能否检索到完整、结构化、适用的内容？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结构保留、范围标签、可回答性达到门槛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可控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敏感、草稿、个案和高风险操作是否被正确分流？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权限、脱敏、复核、阻断与隔离有效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可运营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规则和来源变化后，系统能否解释、重跑、回滚和撤回？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版本化、审计、指标、灰度与删除传播具备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2.2 明确非目标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sz w:val="22"/>
        </w:rPr>
        <w:t>不以替代源系统为目标：源文档的最终权威性仍由制度库、工单系统、文档平台等来源系统承担。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sz w:val="22"/>
        </w:rPr>
        <w:t>不以自动改写业务结论为目标：模型可辅助识别与建议，但不能自行批准制度、合同或生产变更。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sz w:val="22"/>
        </w:rPr>
        <w:t>不以最大化入库数量为目标：低质量、无责任人或高风险内容应允许不发布。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sz w:val="22"/>
        </w:rPr>
        <w:t>不以单一算法覆盖全部语义为目标：规则、词典、模型、人工复核各有边界。</w:t>
      </w:r>
    </w:p>
    <w:p>
      <w:pPr>
        <w:spacing w:before="100" w:after="180" w:line="288" w:lineRule="auto"/>
        <w:ind w:left="259" w:right="259"/>
        <w:shd w:fill="F4F6F9"/>
      </w:pPr>
      <w:r>
        <w:rPr>
          <w:rFonts w:ascii="Calibri" w:hAnsi="Calibri" w:eastAsia="Microsoft YaHei"/>
          <w:b/>
          <w:color w:val="7A5A00"/>
          <w:sz w:val="21"/>
        </w:rPr>
        <w:t>边界原则：</w:t>
      </w:r>
      <w:r>
        <w:rPr>
          <w:rFonts w:ascii="Calibri" w:hAnsi="Calibri" w:eastAsia="Microsoft YaHei"/>
          <w:sz w:val="21"/>
        </w:rPr>
        <w:t>当“提高召回率”和“降低错误知识传播风险”冲突时，企业知识库优先选择可解释的保守发布，而不是无边界扩容。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3. 治理对象：从文档到可发布知识对象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3.1 知识对象的最小组成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向量并不能独立承担企业知识治理。每个可发布知识对象应由正文、结构、元数据、证据、决策和血缘共同组成；正文只是其中一部分。</w:t>
      </w:r>
    </w:p>
    <w:p>
      <w:pPr>
        <w:keepNext/>
        <w:spacing w:before="80" w:after="80"/>
      </w:pPr>
      <w:r>
        <w:rPr>
          <w:rFonts w:ascii="Calibri" w:hAnsi="Calibri" w:eastAsia="Microsoft YaHei"/>
          <w:b/>
          <w:color w:val="666666"/>
          <w:sz w:val="18"/>
        </w:rPr>
        <w:t>表 4  可发布知识对象的最小数据模型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4400"/>
        <w:gridCol w:w="346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维度</w:t>
            </w:r>
          </w:p>
        </w:tc>
        <w:tc>
          <w:tcPr>
            <w:tcW w:type="dxa" w:w="4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最小字段</w:t>
            </w:r>
          </w:p>
        </w:tc>
        <w:tc>
          <w:tcPr>
            <w:tcW w:type="dxa" w:w="3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身份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knowledge_id、source_id、content_hash、source_version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幂等、去重、撤回和版本比较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内容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clean_text、heading_path、tables、language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分块、检索、引用与展示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业务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knowledge_domain、document_status、effective_date、applicability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规则包选择和检索过滤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安全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classification、allowed_roles、sensitivity_tags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发布路由与访问控制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治理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decision、reason_codes、rule_pack_versions、reviewer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审核、解释、回滚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证据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source_locator、section_anchor、processed_at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回答引用与问题追溯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3.2 原文、清洗文本与增强字段必须并存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清洗过程不应覆盖原文。原文保存在受控来源或隔离存储中；清洗文本服务检索；增强字段用于检索扩展和治理。三者分别控制访问，避免把原文敏感信息复制到索引或审计日志中。</w:t>
      </w:r>
    </w:p>
    <w:p>
      <w:pPr>
        <w:keepNext/>
        <w:spacing w:before="80" w:after="80"/>
      </w:pPr>
      <w:r>
        <w:rPr>
          <w:rFonts w:ascii="Calibri" w:hAnsi="Calibri" w:eastAsia="Microsoft YaHei"/>
          <w:b/>
          <w:color w:val="666666"/>
          <w:sz w:val="18"/>
        </w:rPr>
        <w:t>表 5  三类数据的边界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3500"/>
        <w:gridCol w:w="2400"/>
        <w:gridCol w:w="196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数据层</w:t>
            </w:r>
          </w:p>
        </w:tc>
        <w:tc>
          <w:tcPr>
            <w:tcW w:type="dxa" w:w="3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包含内容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访问原则</w:t>
            </w:r>
          </w:p>
        </w:tc>
        <w:tc>
          <w:tcPr>
            <w:tcW w:type="dxa" w:w="1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典型用途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原文层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原始文件、原始结构、受控附件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按来源权限和保留策略访问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复核、取证、重新解析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发布层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已清洗正文、允许元数据、证据定位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按知识空间和角色发布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检索、问答、阅读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治理层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哈希、规则版本、原因码、质量指标、审核结论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最小必要的治理权限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审计、监控、回滚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3.3 文档状态与知识状态不能混用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文档的业务状态，如草稿、已批准、已废止，是来源事实；知识的发布状态，如 PASS、REVIEW、BLOCK，是治理系统的处理结论。两者分开保存，才能解释“一个已批准文档为什么仍被阻断”或“一个草稿为什么只能供受限审核”。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4. 参考流程与控制点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流程设计的核心不是堆叠组件，而是让每个阶段都有明确输入、输出、责任人、失败状态和可审计证据。</w:t>
      </w:r>
    </w:p>
    <w:p>
      <w:r>
        <w:drawing>
          <wp:inline xmlns:a="http://schemas.openxmlformats.org/drawingml/2006/main" xmlns:pic="http://schemas.openxmlformats.org/drawingml/2006/picture">
            <wp:extent cx="5120640" cy="3398243"/>
            <wp:docPr id="1" name="Picture 1" descr="企业知识库数据清洗、决策与发布治理参考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rprise_cleaning_governance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398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666666"/>
          <w:sz w:val="18"/>
        </w:rPr>
        <w:t>图 1  企业知识库数据清洗治理参考架构</w:t>
      </w:r>
    </w:p>
    <w:p>
      <w:pPr>
        <w:keepNext/>
        <w:spacing w:before="80" w:after="80"/>
      </w:pPr>
      <w:r>
        <w:rPr>
          <w:rFonts w:ascii="Calibri" w:hAnsi="Calibri" w:eastAsia="Microsoft YaHei"/>
          <w:b/>
          <w:color w:val="666666"/>
          <w:sz w:val="18"/>
        </w:rPr>
        <w:t>表 6  参考流程的十个控制点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00"/>
        <w:gridCol w:w="3200"/>
        <w:gridCol w:w="2100"/>
        <w:gridCol w:w="2760"/>
      </w:tblGrid>
      <w:tr>
        <w:trPr>
          <w:tblHeader w:val="true"/>
        </w:trP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3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主要控制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失败去向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最小证据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接入登记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来源合法性、拥有者、知识域、目标空间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未知来源进入 REVIEW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source_id、owner、batch_id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预检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格式、大小、加密、读取权限、恶意文件扫描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禁止或恶意文件 BLOCK + 隔离；不可读进入重试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precheck_status、reason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解析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正文、标题、表格、图片说明、附件关系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PARSE_FAILED，进入重试或人工排障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parser、parser_version、parse_status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规范化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编码、零宽字符、空白、结构和重复噪声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质量异常标记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normalization_rules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通用清洗与安全识别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PII、凭据、内部端点、密级识别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脱敏、标记、复核或阻断候选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matched_rule_ids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业务治理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状态、范围、术语、实体、冲突、场景风险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领域复核队列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rule_pack、domain_tags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发布质量与安全裁决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完整度、可读性、压缩率、可回答性与安全命中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质量复核队列或阻断候选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quality_metrics、security_gate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决策聚合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优先级、例外、原因码和发布状态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PASS / REVIEW / BLOCK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decision_trace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发布构建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分块、向量化、索引、权限和引用锚点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发布失败待重试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knowledge_id、index_version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持续运营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抽检、反馈、变更、撤回和重跑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再处理任务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lineage、event_log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4.1 运行状态、发布决策与处置去向必须分离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技术失败不是发布结论。运行状态记录任务是否成功执行；发布决策判断内容是否具备入库资格；处置去向说明对象被发送到哪里。三个维度分离后，系统才能正确表达“解析失败，等待重试”与“检测到凭据，永久阻断”这两类完全不同的事件。</w:t>
      </w:r>
    </w:p>
    <w:p>
      <w:pPr>
        <w:keepNext/>
        <w:spacing w:before="80" w:after="80"/>
      </w:pPr>
      <w:r>
        <w:rPr>
          <w:rFonts w:ascii="Calibri" w:hAnsi="Calibri" w:eastAsia="Microsoft YaHei"/>
          <w:b/>
          <w:color w:val="666666"/>
          <w:sz w:val="18"/>
        </w:rPr>
        <w:t>表 7  三类状态的职责边界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900"/>
        <w:gridCol w:w="2500"/>
        <w:gridCol w:w="246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状态域</w:t>
            </w:r>
          </w:p>
        </w:tc>
        <w:tc>
          <w:tcPr>
            <w:tcW w:type="dxa" w:w="2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示例值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何时产生</w:t>
            </w:r>
          </w:p>
        </w:tc>
        <w:tc>
          <w:tcPr>
            <w:tcW w:type="dxa" w:w="2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关键约束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运行状态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REGISTERED、PARSE_FAILED、RETRYING、PUBLISH_FAILED、QUARANTINED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接入、解析、发布或隔离执行时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PARSE_FAILED 不等于 BLOCK，通常尚无最终发布决策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发布决策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PENDING、PASS、REVIEW、BLOCK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规则、质量与安全证据聚合后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仅 BLOCK 终止发布；PASS 才能进入索引构建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处置去向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RETRY_QUEUE、REVIEW_QUEUE、PUBLISHED、QUARANTINE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根据运行状态和发布决策路由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去向必须与来源、规则版本和责任人关联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4.2 失败不能被静默吞掉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解析失败、规则引擎异常、发布连接失败和权限映射失败必须产生可见运行状态。批处理可以继续处理其他文档，但不得把异常文档伪装成空文本、自动通过或已发布。对高风险规则，检测器故障应采用保守的 REVIEW 或 BLOCK 策略，并触发告警；对普通解析故障则优先进入 RETRYING 或人工排障，而非误标为 BLOCK。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4.3 多模态解析与证据保真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扫描件、架构图、流程图和跨页表格不能被视为普通文本解析的附属场景。系统应分别记录原始页或图像、页码和坐标锚点、解析器或模型版本、文本覆盖率、置信度及结构恢复结果。图表转文本（Image-to-Text）属于派生解释，不得脱离原图、页码或区域锚点单独作为 PASS 的证据；关键事实仍须能够回到可核验的原始视觉证据。</w:t>
      </w:r>
    </w:p>
    <w:p>
      <w:pPr>
        <w:keepNext/>
        <w:spacing w:before="80" w:after="80"/>
      </w:pPr>
      <w:r>
        <w:rPr>
          <w:rFonts w:ascii="Calibri" w:hAnsi="Calibri" w:eastAsia="Microsoft YaHei"/>
          <w:b/>
          <w:color w:val="666666"/>
          <w:sz w:val="18"/>
        </w:rPr>
        <w:t>表 8  多模态解析质量门禁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4000"/>
        <w:gridCol w:w="35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对象</w:t>
            </w:r>
          </w:p>
        </w:tc>
        <w:tc>
          <w:tcPr>
            <w:tcW w:type="dxa" w:w="4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应保留的证据</w:t>
            </w:r>
          </w:p>
        </w:tc>
        <w:tc>
          <w:tcPr>
            <w:tcW w:type="dxa" w:w="3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建议门禁与处置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扫描件与 OCR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原始页、文本覆盖率、平均与字段级置信度、OCR 引擎版本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文本覆盖率或平均置信度未达到该来源基线时进入 REVIEW；关键字段低置信不得自动发布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架构图、流程图与截图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原图、页码、区域坐标、图表说明、提取文本或结构化候选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Image-to-Text 仅作候选解释；涉及控制流、权限边界或操作结论时需与原图交叉核验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复杂或跨页表格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表头连续性、单元格坐标、跨页关联、数值和合计校验结果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表头丢失、列错位、关键单元格缺失或合计不一致时进入 REVIEW，不得静默扁平化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多模态解析失败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失败码、原始附件、重试记录和责任队列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不可恢复的关键证据缺失进入 REVIEW 或 BLOCK；不得以空文本或摘要替代原始内容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4.4 分块和向量化的正确位置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分块应在发布门禁之后进行，且必须继承文档级的安全、范围、版本与证据字段。对于长文档，片段还应继承标题路径和适用范围，避免一段脱离上下文的文字在检索时被误解。向量化不是清洗的替代品；它只为已获准的文本建立检索表示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5. 规则体系与决策模型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5.1 通用规则、业务规则与发布策略三层分工</w:t>
      </w:r>
    </w:p>
    <w:p>
      <w:pPr>
        <w:keepNext/>
        <w:spacing w:before="80" w:after="80"/>
      </w:pPr>
      <w:r>
        <w:rPr>
          <w:rFonts w:ascii="Calibri" w:hAnsi="Calibri" w:eastAsia="Microsoft YaHei"/>
          <w:b/>
          <w:color w:val="666666"/>
          <w:sz w:val="18"/>
        </w:rPr>
        <w:t>表 9  三层规则模型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3550"/>
        <w:gridCol w:w="2200"/>
        <w:gridCol w:w="201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层级</w:t>
            </w:r>
          </w:p>
        </w:tc>
        <w:tc>
          <w:tcPr>
            <w:tcW w:type="dxa" w:w="35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解决的问题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典型责任人</w:t>
            </w:r>
          </w:p>
        </w:tc>
        <w:tc>
          <w:tcPr>
            <w:tcW w:type="dxa" w:w="2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通用规则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跨域内容的可读性、安全与基础质量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平台、安全、数据治理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编码规范化、PII、凭据、去重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业务规则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领域术语、业务状态、场景风险和发布边界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HR、产品、客服、SRE、法务等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草稿制度、客户个案、危险变更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发布策略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目标空间、角色、审批和生命周期路由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知识库管理员、合规、领域负责人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内部库、公开库、受限库、隔离区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5.2 规则契约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生产规则应以配置或受控登记的方式存在，而不是散落在代码中的条件分支。规则契约使规则能够被评审、版本化、测试、灰度和回滚。</w:t>
      </w:r>
    </w:p>
    <w:p>
      <w:pPr>
        <w:spacing w:before="60" w:after="160" w:line="259" w:lineRule="auto"/>
        <w:ind w:left="317" w:right="317"/>
        <w:shd w:fill="F2F4F7"/>
      </w:pPr>
      <w:r>
        <w:rPr>
          <w:rFonts w:ascii="Consolas" w:hAnsi="Consolas" w:eastAsia="Microsoft YaHei"/>
          <w:sz w:val="18"/>
        </w:rPr>
        <w:t>id: OPS-001</w:t>
        <w:br/>
        <w:t>rule_pack: ops</w:t>
        <w:br/>
        <w:t>version: 1.0.0</w:t>
        <w:br/>
        <w:t>priority: P0</w:t>
        <w:br/>
        <w:t>trigger: credential_or_secret_detected</w:t>
        <w:br/>
        <w:t>action: BLOCK</w:t>
        <w:br/>
        <w:t>reason_code: secret_detected</w:t>
        <w:br/>
        <w:t>owner: platform_security</w:t>
        <w:br/>
        <w:t>applies_to: [markdown, html, pdf_extract]</w:t>
        <w:br/>
        <w:t>test_case_ids: [ops_secret_positive, ops_secret_negative]</w:t>
        <w:br/>
        <w:t>expires_at: null</w:t>
      </w:r>
    </w:p>
    <w:p>
      <w:pPr>
        <w:keepNext/>
        <w:spacing w:before="80" w:after="80"/>
      </w:pPr>
      <w:r>
        <w:rPr>
          <w:rFonts w:ascii="Calibri" w:hAnsi="Calibri" w:eastAsia="Microsoft YaHei"/>
          <w:b/>
          <w:color w:val="666666"/>
          <w:sz w:val="18"/>
        </w:rPr>
        <w:t>表 10  规则契约的必要字段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4200"/>
        <w:gridCol w:w="32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4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治理意义</w:t>
            </w:r>
          </w:p>
        </w:tc>
        <w:tc>
          <w:tcPr>
            <w:tcW w:type="dxa" w:w="3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上线前检查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id / version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定位规则与比较变更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编号唯一、版本可追溯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scope / applies_to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限定来源、格式、知识域或空间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不会跨域误伤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trigger / action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说明触发条件与处理动作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动作符合统一语义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priority / conflict_policy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解决规则同时命中的顺序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BLOCK 覆盖低优先级动作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owner / approver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明确业务与安全责任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有人负责变更与误报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test_case_ids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锁定正例、反例和绕过样例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自动回归可运行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expiry / review_date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防止规则随制度或产品失效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定期复审有安排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5.3 统一动作与优先级</w:t>
      </w:r>
    </w:p>
    <w:p>
      <w:pPr>
        <w:keepNext/>
        <w:spacing w:before="80" w:after="80"/>
      </w:pPr>
      <w:r>
        <w:rPr>
          <w:rFonts w:ascii="Calibri" w:hAnsi="Calibri" w:eastAsia="Microsoft YaHei"/>
          <w:b/>
          <w:color w:val="666666"/>
          <w:sz w:val="18"/>
        </w:rPr>
        <w:t>表 11  统一动作语义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2800"/>
        <w:gridCol w:w="3000"/>
        <w:gridCol w:w="23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动作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作用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正文结果</w:t>
            </w:r>
          </w:p>
        </w:tc>
        <w:tc>
          <w:tcPr>
            <w:tcW w:type="dxa" w:w="2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发布影响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KEEP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显式保留业务事实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保持或仅结构规范化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不单独决定发布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MASK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用有语义的占位符最小化敏感值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替换为 [PHONE]、[CUSTOMER] 等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可能仍需要范围限制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REMOVE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删除不承载业务事实的噪声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移除页眉、导航、重复模板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应受质量门禁约束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TAG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补充状态、范围、实体和风险元数据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正文不一定改变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用于过滤、路由和审计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REVIEW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要求人工作出业务或合规判断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保存受控预览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不得自动进入正式索引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BLOCK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阻断不可接受风险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不产生可检索正文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进入隔离与安全流程</w:t>
            </w:r>
          </w:p>
        </w:tc>
      </w:tr>
    </w:tbl>
    <w:p>
      <w:pPr>
        <w:spacing w:after="40"/>
      </w:pPr>
    </w:p>
    <w:p>
      <w:pPr>
        <w:spacing w:before="100" w:after="180" w:line="288" w:lineRule="auto"/>
        <w:ind w:left="259" w:right="259"/>
        <w:shd w:fill="F4F6F9"/>
      </w:pPr>
      <w:r>
        <w:rPr>
          <w:rFonts w:ascii="Calibri" w:hAnsi="Calibri" w:eastAsia="Microsoft YaHei"/>
          <w:b/>
          <w:color w:val="9B1C1C"/>
          <w:sz w:val="21"/>
        </w:rPr>
        <w:t>冲突原则：</w:t>
      </w:r>
      <w:r>
        <w:rPr>
          <w:rFonts w:ascii="Calibri" w:hAnsi="Calibri" w:eastAsia="Microsoft YaHei"/>
          <w:sz w:val="21"/>
        </w:rPr>
        <w:t>安全与合规的 P0/P1 门禁优先于内容保留；业务规则可以收紧通用默认策略，但不能绕过凭据、密级或明令禁止发布的阻断条件。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5.4 风险优先级与例外权限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优先级用于定义风险处置的最低标准，而不是单纯决定规则执行先后。例外审批只能改变可例外的业务或质量判断，不能把不可接受的安全风险转化为可发布知识。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sz w:val="22"/>
        </w:rPr>
        <w:t>P0：凭据、私钥、恶意文件、明确禁止发布内容。动作必须为 BLOCK；不允许业务 override，只能修正来源后重新接入。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sz w:val="22"/>
        </w:rPr>
        <w:t>P1：高敏 PII、受限密级、客户机密和高风险内部端点。默认 REVIEW 或受限发布；例外须由安全/合规负责人批准、限定目标空间并设置到期时间。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sz w:val="22"/>
        </w:rPr>
        <w:t>P2：时效、冲突、语义完整度和适用范围不确定。领域负责人可在 REVIEW 中批准、退回或要求整改，必须记录依据。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sz w:val="22"/>
        </w:rPr>
        <w:t>P3：空白、页眉页脚、样式噪声等低风险格式问题。可自动规范化，但仍需接受抽样质量检查。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5.5 文档级决策聚合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决策应以文档为单位聚合，而不是由最后一个命中的规则决定。一个文档可以同时完成脱敏、添加标签并进入复核。最终决策要保留全部原因码、命中规则、质量指标和规则版本，供审核人和后续重跑使用。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sz w:val="22"/>
        </w:rPr>
        <w:t>存在 BLOCK 触发时，最终决策为 BLOCK，不生成可检索正文。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sz w:val="22"/>
        </w:rPr>
        <w:t>无 BLOCK 但存在 REVIEW 条件时，最终决策为 REVIEW，保存脱敏预览。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sz w:val="22"/>
        </w:rPr>
        <w:t>满足质量、安全和业务策略且无人工确认要求时，最终决策为 PASS。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sz w:val="22"/>
        </w:rPr>
        <w:t>决策过程必须记录为稳定原因码，不应把敏感命中原文写入日志。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6. 通用清洗与基础质量控制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6.1 解析与结构恢复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格式清洗的目标是恢复可检索结构，而不是把所有格式压平为一段纯文本。标题层级、列表、表格、代码块、图片说明、引用关系和附件链接都可能影响检索、分块和引用。页眉页脚通常是噪声，但制度编号、版本号和生效日期可能出现在页眉或页脚，需先识别其语义再处理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6.2 敏感信息与凭据治理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敏感信息治理遵循“识别、分类、最小化、分流、审计”的顺序。手机号、邮箱、身份证、地址、员工号、客户标识和内部端点的处置取决于目标空间；密码、私钥、访问令牌、数据库连接串等凭据应默认阻断，而不是简单用星号替换后继续发布。</w:t>
      </w:r>
    </w:p>
    <w:p>
      <w:pPr>
        <w:keepNext/>
        <w:spacing w:before="80" w:after="80"/>
      </w:pPr>
      <w:r>
        <w:rPr>
          <w:rFonts w:ascii="Calibri" w:hAnsi="Calibri" w:eastAsia="Microsoft YaHei"/>
          <w:b/>
          <w:color w:val="666666"/>
          <w:sz w:val="18"/>
        </w:rPr>
        <w:t>表 12  通用风险类别与默认动作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2900"/>
        <w:gridCol w:w="2000"/>
        <w:gridCol w:w="286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风险类别</w:t>
            </w:r>
          </w:p>
        </w:tc>
        <w:tc>
          <w:tcPr>
            <w:tcW w:type="dxa" w:w="2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检测手段</w:t>
            </w:r>
          </w:p>
        </w:tc>
        <w:tc>
          <w:tcPr>
            <w:tcW w:type="dxa" w:w="2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默认动作</w:t>
            </w:r>
          </w:p>
        </w:tc>
        <w:tc>
          <w:tcPr>
            <w:tcW w:type="dxa" w:w="2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关键注意事项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PII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模式、校验位、实体识别、字段上下文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MASK，必要时 REVIEW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避免只依赖单一正则造成漏检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凭据与密钥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高置信模式、字段名、熵值、密钥块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BLOCK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报告不得保留明文样本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内部网络信息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私网地址、域名、连接串、路径语义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MASK 或受限发布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公开空间通常更严格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密级与访问限制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元数据、标题、页眉、内容分类器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TAG + REVIEW 或 BLOCK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密级以企业制度为准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恶意或不可读文件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预检、解密状态、解析异常、扫描结果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BLOCK 或隔离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不可将失败视作无内容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6.3 去重、近似重复与版本簇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完全相同的内容可使用哈希去重；近似重复需要结合标题、来源、版本、时间和文本相似度形成候选簇。企业场景中最危险的不是重复本身，而是旧版本与新版本同时可检索、或多个部门维护互相冲突的副本。去重规则不能自动删除原文，应首先建立来源关系与权威版本裁决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6.4 质量门禁</w:t>
      </w:r>
    </w:p>
    <w:p>
      <w:pPr>
        <w:keepNext/>
        <w:spacing w:before="80" w:after="80"/>
      </w:pPr>
      <w:r>
        <w:rPr>
          <w:rFonts w:ascii="Calibri" w:hAnsi="Calibri" w:eastAsia="Microsoft YaHei"/>
          <w:b/>
          <w:color w:val="666666"/>
          <w:sz w:val="18"/>
        </w:rPr>
        <w:t>表 13  推荐质量指标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3100"/>
        <w:gridCol w:w="2400"/>
        <w:gridCol w:w="236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3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异常信号</w:t>
            </w:r>
          </w:p>
        </w:tc>
        <w:tc>
          <w:tcPr>
            <w:tcW w:type="dxa" w:w="2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建议处置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解析完整度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正文、标题、表格和附件提取是否符合预期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空文本、乱码、表格丢失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REVIEW 或重新解析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清洗压缩率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清洗后长度与原始有效文本的比值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过低可能误删，过高可能未去噪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进入抽检或复核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结构得分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标题层级、段落、列表和表格的完整性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全文单段、无标题、断裂严重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结构恢复或 REVIEW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时效性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生效、失效、最后更新与版本状态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过期、未知、冲突版本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降权、REVIEW 或撤回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可回答性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是否包含条件、步骤、依据和适用范围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只有结论、缺少上下文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降权或禁止确定性回答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7. 业务语义治理：企业知识可用性的关键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业务语义治理处理的是“文本看起来干净，但仍不应被当作标准知识”的问题。它通常需要业务词表、来源元数据、规则引擎、模型辅助和人工审核共同参与。</w:t>
      </w:r>
    </w:p>
    <w:p>
      <w:pPr>
        <w:keepNext/>
        <w:spacing w:before="80" w:after="80"/>
      </w:pPr>
      <w:r>
        <w:rPr>
          <w:rFonts w:ascii="Calibri" w:hAnsi="Calibri" w:eastAsia="Microsoft YaHei"/>
          <w:b/>
          <w:color w:val="666666"/>
          <w:sz w:val="18"/>
        </w:rPr>
        <w:t>表 14  常见业务语义治理能力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2600"/>
        <w:gridCol w:w="2850"/>
        <w:gridCol w:w="201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能力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业务问题</w:t>
            </w:r>
          </w:p>
        </w:tc>
        <w:tc>
          <w:tcPr>
            <w:tcW w:type="dxa" w:w="2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典型处理</w:t>
            </w:r>
          </w:p>
        </w:tc>
        <w:tc>
          <w:tcPr>
            <w:tcW w:type="dxa" w:w="2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权威源与版本裁决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多个版本或副本同时存在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指定权威来源、撤回旧版、保留版本关系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制度 V1.0 与 V1.1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适用范围识别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内容只适用于特定地区、角色、环境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抽取并写入 applicability 标签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仅华东、仅生产环境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时效与生效条件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草稿、试行、过期、未审批内容混入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TAG、REVIEW、撤回或阻断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生效日期、审批状态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术语与缩略语治理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用户问法和文档术语不一致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维护别名、词表和查询扩展，不盲改原文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SLA、P1、客户简称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实体标准化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同一客户、系统、产品有多个名称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统一编码、别名和关系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产品名、部门名、项目代号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冲突检测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不同资料给出矛盾结论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建立冲突候选与责任人升级机制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两版流程的审批时限不同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文档拆分与重组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正式制度、讨论记录、附件混在一起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按内容类型拆分，分别发布或隔离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制度正文与聊天纪要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证据定位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回答无法回到权威依据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保留章节、页码、锚点和引用关系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合同条款第 4.2 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访问范围路由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同一内容在不同人群下风险不同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生成不同受控版本或限制空间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内部 FAQ 与公开 FAQ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操作风险识别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内容可直接造成生产或财务风险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增加审核、提示、限制直接执行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危险命令、付款指令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反馈闭环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用户发现错误、过期或答非所问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关联知识对象、规则和来源，触发再处理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用户纠错工单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7.1 术语对齐不等于改写原文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术语对齐应优先以增强字段、词典和查询扩展完成。原文中的正式名称、历史名称和缩略语都可能具有证据价值；直接批量改写不仅会损害引用真实性，还可能把不同语境下相同缩写错误合并。只有在上下文、组织和版本均明确时，才可生成受控的标准化字段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7.2 质量评分不应单独决定发布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模型或人工评分适合识别内容完整度、可读性和可回答性，但不能取代安全、版本和业务状态判断。一份高质量的未审批合同意见仍不应发布；一份结构一般但唯一有效的应急流程可能需要保留并标记改进任务。评分应作为质量门禁的证据之一，而不是单一裁决器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7.3 LLM 辅助语义治理的路由与验证门禁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模型能力应按风险和确定性分层路由。高频、明确、低风险的格式处理、脱敏和状态判定优先使用确定性规则；实体识别、文档分类等标准任务可由轻量模型或 NER 承担；指代消解、术语冲突、图表语义和复杂适用范围可提交 LLM 形成候选判断。制度、合同、生产变更、高风险操作和不可逆处理仍必须进入人工复核。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sz w:val="22"/>
        </w:rPr>
        <w:t>LLM 输出必须是结构化候选，至少包含结论、原文锚点、置信度、理由码、模型版本和提示词版本；输出经 Schema、原文锚点、置信度阈值与规则交叉校验后才能被采用。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sz w:val="22"/>
        </w:rPr>
        <w:t>LLM 不得单独把对象判为 PASS，也不得改写原始证据或绕过 P0/P1 规则。验证失败、锚点缺失、输出不完整或语义冲突时，按风险进入 REVIEW 或回退到确定性流程。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sz w:val="22"/>
        </w:rPr>
        <w:t>成本治理应使用内容哈希缓存、Token 上限、批处理、域内模型选择和预算配额；对敏感原文设置出域限制，并记录调用量、命中率、人工采纳率和复核偏差。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7.4 业务规则的提炼方法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  <w:sz w:val="22"/>
        </w:rPr>
        <w:t>先用业务语言描述：这类文档有什么价值，什么信息必须保留，什么风险不可接受。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  <w:sz w:val="22"/>
        </w:rPr>
        <w:t>确定可观察信号：来源、目录、标题、状态字段、关键词、实体、版本、审批记录。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  <w:sz w:val="22"/>
        </w:rPr>
        <w:t>将业务结论映射为统一动作：KEEP、MASK、REMOVE、TAG、REVIEW 或 BLOCK。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  <w:sz w:val="22"/>
        </w:rPr>
        <w:t>定义反例与边界：什么情况下看似相似却不应命中，如何处理不确定性。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  <w:sz w:val="22"/>
        </w:rPr>
        <w:t>指定责任人、样例集、审查周期和失效条件，再进入自动化实现。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8. 典型业务场景与发布判断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8.1 HR：制度知识与员工个案分离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HR 场景中，流程、岗位角色、生效日期和制度版本通常是可复用知识；员工编号、薪酬、绩效、病历、处分、劳动争议和补偿细节则具有显著隐私和语境风险。草稿制度即使格式完整，也应在业务审批前进入 REVIEW。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8.2 客服与产品：从工单个案提炼通用解法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客服工单可沉淀错误码、版本兼容性、根因和验证步骤，但客户名称、联系人、租户标识、内部链接和个别承诺必须最小化。仅针对单一客户的补丁、灰度功能或路线图不应自动变成通用 FAQ。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8.3 运维：保留操作价值，控制生产风险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运维 Runbook 的命令、参数、回滚步骤、故障等级和影响范围具有高检索价值，不能因出现代码块而整体删除。密码、令牌、私钥和数据库连接串应阻断；未审批的生产变更、破坏性命令和实验性操作应要求 SRE 或系统负责人复核。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8.4 采购、法务、财务与销售：扩展规则包的共同模式</w:t>
      </w:r>
    </w:p>
    <w:p>
      <w:pPr>
        <w:keepNext/>
        <w:spacing w:before="80" w:after="80"/>
      </w:pPr>
      <w:r>
        <w:rPr>
          <w:rFonts w:ascii="Calibri" w:hAnsi="Calibri" w:eastAsia="Microsoft YaHei"/>
          <w:b/>
          <w:color w:val="666666"/>
          <w:sz w:val="18"/>
        </w:rPr>
        <w:t>表 15  扩展业务域的规则设计起点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3100"/>
        <w:gridCol w:w="2860"/>
        <w:gridCol w:w="180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业务域</w:t>
            </w:r>
          </w:p>
        </w:tc>
        <w:tc>
          <w:tcPr>
            <w:tcW w:type="dxa" w:w="3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可复用知识</w:t>
            </w:r>
          </w:p>
        </w:tc>
        <w:tc>
          <w:tcPr>
            <w:tcW w:type="dxa" w:w="2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高风险内容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默认发布判断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采购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供应商准入标准、采购流程、标准交付要求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报价、账户、谈判底线、未公开供应商评价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REVIEW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法务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已批准的标准条款、签约流程、合规指引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具体交易意见、合同附件、争议策略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REVIEW 或受限发布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财务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费用制度、报销流程、科目说明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个人报销单、银行信息、税务细节、付款指令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REVIEW / BLOCK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销售与客户成功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通用实施方法、产品能力、成功模式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账户方案、折扣、续约预测、客户机密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REVIEW</w:t>
            </w:r>
          </w:p>
        </w:tc>
      </w:tr>
    </w:tbl>
    <w:p>
      <w:pPr>
        <w:spacing w:after="40"/>
      </w:pPr>
    </w:p>
    <w:p>
      <w:pPr>
        <w:spacing w:before="100" w:after="180" w:line="288" w:lineRule="auto"/>
        <w:ind w:left="259" w:right="259"/>
        <w:shd w:fill="F4F6F9"/>
      </w:pPr>
      <w:r>
        <w:rPr>
          <w:rFonts w:ascii="Calibri" w:hAnsi="Calibri" w:eastAsia="Microsoft YaHei"/>
          <w:b/>
          <w:color w:val="1F3A5F"/>
          <w:sz w:val="21"/>
        </w:rPr>
        <w:t>通用判断法：</w:t>
      </w:r>
      <w:r>
        <w:rPr>
          <w:rFonts w:ascii="Calibri" w:hAnsi="Calibri" w:eastAsia="Microsoft YaHei"/>
          <w:sz w:val="21"/>
        </w:rPr>
        <w:t>业务规则的起点不是字段脱敏，而是先判断材料属于“可复用标准知识、个案材料、未批准建议、受限证据”中的哪一类。文档类型判断往往比单个词的匹配更重要。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9. 人工复核与例外管理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9.1 人工复核的职责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人工复核不是自动化失败后的兜底垃圾箱，而是处理业务语义不确定性的正式控制环节。审核人应在脱敏预览、规则命中、质量指标、来源元数据和目标空间上下文中做决定，而不是被要求阅读无边界的原始材料。</w:t>
      </w:r>
    </w:p>
    <w:p>
      <w:pPr>
        <w:keepNext/>
        <w:spacing w:before="80" w:after="80"/>
      </w:pPr>
      <w:r>
        <w:rPr>
          <w:rFonts w:ascii="Calibri" w:hAnsi="Calibri" w:eastAsia="Microsoft YaHei"/>
          <w:b/>
          <w:color w:val="666666"/>
          <w:sz w:val="18"/>
        </w:rPr>
        <w:t>表 16  REVIEW 队列的最小信息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4200"/>
        <w:gridCol w:w="32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信息</w:t>
            </w:r>
          </w:p>
        </w:tc>
        <w:tc>
          <w:tcPr>
            <w:tcW w:type="dxa" w:w="4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用途</w:t>
            </w:r>
          </w:p>
        </w:tc>
        <w:tc>
          <w:tcPr>
            <w:tcW w:type="dxa" w:w="3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安全要求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来源与版本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确认权威性、拥有者和时效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仅展示必要标识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脱敏预览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判断保留内容是否完整、是否仍有风险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默认不展示原始 PII 与凭据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规则命中与原因码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理解为何进入复核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原因码稳定，证据最小化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质量指标与差异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判断误删、解析异常、结构缺失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可查看清洗前后长度等摘要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目标知识空间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按发布范围进行判断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明确允许角色和公开级别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审核结论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approve、reject、request_changes、override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记录审核人、时间和理由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9.2 例外必须有期限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允许例外不等于永久绕过规则。任何 override 仅适用于 P1/P2 范围，并应绑定目标空间、理由、批准人、到期时间和复核计划；P0 凭据、恶意文件和明确禁止发布内容不得 override。高风险例外还应记录风险接受人，并禁止把一次性例外反向写成普遍规则。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9.3 抽样与质量复核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抽样并非只在文档量很大时使用。规则上线、阈值调整、来源切换和高风险域扩展都应进行分层抽样。建议按知识域、来源、文档类型、风险级别和处理结果分层，重点检查漏检、误杀、语义损失、权限错误与引用失效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10. 测试、评估与验收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10.1 测试金字塔</w:t>
      </w:r>
    </w:p>
    <w:p>
      <w:pPr>
        <w:keepNext/>
        <w:spacing w:before="80" w:after="80"/>
      </w:pPr>
      <w:r>
        <w:rPr>
          <w:rFonts w:ascii="Calibri" w:hAnsi="Calibri" w:eastAsia="Microsoft YaHei"/>
          <w:b/>
          <w:color w:val="666666"/>
          <w:sz w:val="18"/>
        </w:rPr>
        <w:t>表 17  测试层级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4000"/>
        <w:gridCol w:w="3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层级</w:t>
            </w:r>
          </w:p>
        </w:tc>
        <w:tc>
          <w:tcPr>
            <w:tcW w:type="dxa" w:w="4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验证对象</w:t>
            </w:r>
          </w:p>
        </w:tc>
        <w:tc>
          <w:tcPr>
            <w:tcW w:type="dxa" w:w="3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必须覆盖的风险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规则单元测试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单条规则的正例、反例、边界和绕过样例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误脱敏、漏检、错误动作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规则链测试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多规则命中、优先级与决策聚合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BLOCK 被低优先级规则覆盖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文档集回归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多格式解析、结构恢复与规则包组合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版本升级造成大范围质量回退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安全测试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凭据、PII、日志、报告与隔离路径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明文泄漏到任何输出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业务验收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场景价值、范围、时效与最终发布判断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个案、草稿、过期内容误发布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运行演练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批量失败、重试、撤回、回滚和灾备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假成功、重复发布、撤回不完整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10.2 指标体系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不建议只用“处理成功率”评估清洗项目。高成功率可能意味着系统把无法解析的文档悄悄当作空文本，或把所有有风险内容粗暴删除。指标应同时覆盖安全、质量、业务和运营四类结果。</w:t>
      </w:r>
    </w:p>
    <w:p>
      <w:pPr>
        <w:keepNext/>
        <w:spacing w:before="80" w:after="80"/>
      </w:pPr>
      <w:r>
        <w:rPr>
          <w:rFonts w:ascii="Calibri" w:hAnsi="Calibri" w:eastAsia="Microsoft YaHei"/>
          <w:b/>
          <w:color w:val="666666"/>
          <w:sz w:val="18"/>
        </w:rPr>
        <w:t>表 18  推荐运营指标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4100"/>
        <w:gridCol w:w="376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维度</w:t>
            </w:r>
          </w:p>
        </w:tc>
        <w:tc>
          <w:tcPr>
            <w:tcW w:type="dxa" w:w="4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3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安全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P0 明文泄漏数、PII 漏检率、隔离处置时效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验证底线风险是否受控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质量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解析失败率、结构完整度、压缩率异常率、误删率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验证清洗是否损失知识价值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业务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审核通过率、过期拦截率、冲突闭环率、用户纠错率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验证发布判断是否贴合业务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运营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规则命中率、复核 SLA、重跑成功率、撤回传播时效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验证治理体系能否长期运行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10.3 分层指标基线与验收阈值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阈值应按文档类型、来源质量、知识域和风险等级分层，不宜用单一数字覆盖所有材料。下表给出首次落地可采用的保守基线；团队应以分层抽样和历史分布校准阈值，并将阈值版本纳入发布契约和回归测试。</w:t>
      </w:r>
    </w:p>
    <w:p>
      <w:pPr>
        <w:keepNext/>
        <w:spacing w:before="80" w:after="80"/>
      </w:pPr>
      <w:r>
        <w:rPr>
          <w:rFonts w:ascii="Calibri" w:hAnsi="Calibri" w:eastAsia="Microsoft YaHei"/>
          <w:b/>
          <w:color w:val="666666"/>
          <w:sz w:val="18"/>
        </w:rPr>
        <w:t>表 19  推荐基线阈值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3550"/>
        <w:gridCol w:w="371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控制项</w:t>
            </w:r>
          </w:p>
        </w:tc>
        <w:tc>
          <w:tcPr>
            <w:tcW w:type="dxa" w:w="35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建议基线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不满足时的处置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P0 明文泄漏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发布正文、日志、报告和回归测试中均为 0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BLOCK，并启动隔离、溯源和修复；不得以例外方式发布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原生 Word / PDF 解析完整度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&gt;= 98%，并保留标题、段落、表格与页码等关键结构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低于基线进入 REVIEW；分析解析器、来源格式与结构损失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OCR 文档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文本覆盖率 &gt;= 95%，平均 OCR 置信度 &gt;= 0.95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低于基线进入 REVIEW；关键字段采用更高阈值或人工核验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关键字段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版本、金额、审批结论等建议置信度 &gt;= 0.98，且可回到原始锚点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低置信、无锚点或交叉校验失败时不得自动发布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清洗压缩率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以同类型历史分布为基线；首次可将偏离中位数 30% 作为预警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预警后抽样检查；不是统一阻断阈值，避免误伤短文档或模板文档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跨页表格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表头连续、关键单元格缺失率为 0，数值与合计可校验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任一关键校验失败进入 REVIEW；保留原页与单元格坐标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10.4 发布验收门槛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  <w:sz w:val="22"/>
        </w:rPr>
        <w:t>所有 P0/P1 规则拥有正例、反例和回归测试，凭据明文在发布正文、报告和日志中的泄漏数为零。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  <w:sz w:val="22"/>
        </w:rPr>
        <w:t>PASS、REVIEW、BLOCK 三条路径均可端到端演示，且每一条都有可追溯原因。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  <w:sz w:val="22"/>
        </w:rPr>
        <w:t>所有已发布知识对象都可回到来源、版本、章节或页码等证据定位。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  <w:sz w:val="22"/>
        </w:rPr>
        <w:t>知识空间、角色、密级和发布范围完成映射验证，撤回可传播到索引与缓存。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  <w:sz w:val="22"/>
        </w:rPr>
        <w:t>规则变更具备影子运行、灰度比较、审批和回滚记录。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11. 安全、隐私与合规设计原则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11.1 最小化原则贯穿所有输出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脱敏不是唯一的最小化手段。应同时控制原文访问、复核预览、审计证据、异常日志、指标标签和向量索引。特别是凭据命中时，系统需要记录“命中了哪类风险、何时、由哪个规则发现”，但不应保存密钥片段或整段上下文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11.2 权限在索引前确定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权限、密级和目标知识空间应在向量化之前确定，并作为索引过滤与回答策略的输入。只在检索结果返回后再做权限过滤，无法消除错误索引、缓存或离线导出的风险。对于需要多种受众版本的内容，应生成明确的受控派生版本并保持与同一原文的血缘关联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11.3 保留、删除与法律留置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原文、发布正文、审计记录和隔离件应分别定义保留期限。来源删除、合规撤回或法律留置发生时，系统必须知道哪些发布对象、向量、缓存和派生版本受到影响，并执行可验证的删除或保留动作。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12. 持续运营：规则与知识都会变化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12.1 规则生命周期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Microsoft YaHei"/>
          <w:sz w:val="22"/>
        </w:rPr>
        <w:t>提出：业务负责人描述场景、风险、可保留内容和目标空间。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Microsoft YaHei"/>
          <w:sz w:val="22"/>
        </w:rPr>
        <w:t>评审：平台、安全、合规与领域负责人共同审查作用范围和测试样例。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Microsoft YaHei"/>
          <w:sz w:val="22"/>
        </w:rPr>
        <w:t>影子运行：记录命中与建议动作，不影响现网发布。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Microsoft YaHei"/>
          <w:sz w:val="22"/>
        </w:rPr>
        <w:t>灰度发布：限定来源或空间，比较新旧规则的命中、输出和复核结果。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Microsoft YaHei"/>
          <w:sz w:val="22"/>
        </w:rPr>
        <w:t>正式发布：绑定版本、负责人、测试集、监控与回滚点。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Microsoft YaHei"/>
          <w:sz w:val="22"/>
        </w:rPr>
        <w:t>复盘与退役：根据误报、漏报、业务变化和到期时间调整或停用。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12.2 知识生命周期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知识对象需要随来源、版本、权限和规则变化而重新评估。典型触发包括来源文档更新、制度到期、客户合同变更、产品版本下线、规则升级、用户反馈和安全事件。重跑应采用内容哈希和规则版本保证幂等，并能比较前后决策差异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12.3 反馈成为规则改进输入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“回答错误”“检索不到”“内容过期”“不应公开”等反馈应关联到具体知识对象、来源和规则版本。只有形成这一关联，团队才能区分是检索问题、源数据问题、清洗问题、业务规则问题还是权限问题，并把修复转化为可验证的规则或流程改进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13. 分阶段落地路线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企业应先建立安全可控的最小闭环，再逐步扩展业务规则和自动化范围。以下路线强调治理先行，不假设所有业务语义都能在第一阶段自动化。</w:t>
      </w:r>
    </w:p>
    <w:p>
      <w:pPr>
        <w:keepNext/>
        <w:spacing w:before="80" w:after="80"/>
      </w:pPr>
      <w:r>
        <w:rPr>
          <w:rFonts w:ascii="Calibri" w:hAnsi="Calibri" w:eastAsia="Microsoft YaHei"/>
          <w:b/>
          <w:color w:val="666666"/>
          <w:sz w:val="18"/>
        </w:rPr>
        <w:t>表 20  建议实施阶段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500"/>
        <w:gridCol w:w="3150"/>
        <w:gridCol w:w="221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主要目标</w:t>
            </w:r>
          </w:p>
        </w:tc>
        <w:tc>
          <w:tcPr>
            <w:tcW w:type="dxa" w:w="31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关键交付</w:t>
            </w:r>
          </w:p>
        </w:tc>
        <w:tc>
          <w:tcPr>
            <w:tcW w:type="dxa" w:w="22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退出条件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D0 治理基线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确认来源、空间、责任人和风险口径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数据源清单、发布契约、RACI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业务与安全签字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D1 核心契约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统一文档、规则、决策和血缘模型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数据契约、规则契约、原因码字典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可解释样例跑通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D2 通用门禁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建立解析、PII、凭据、质量与审计闭环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多模态门禁、common 规则包、三态分流、测试集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P0/P1 与解析基线通过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D3 业务规则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按优先业务域沉淀语义规则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领域规则包、LLM 路由、结构化校验门禁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领域负责人验收，LLM 不单独放行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D4 运营能力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建立复核、指标、灰度、撤回和重跑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队列、仪表盘、回滚与抽检机制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连续周期稳定运行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D5 扩展与教学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将成熟能力拆分为可演示案例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教学案例、实验数据、参考实现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不偏离企业契约</w:t>
            </w:r>
          </w:p>
        </w:tc>
      </w:tr>
    </w:tbl>
    <w:p>
      <w:pPr>
        <w:spacing w:after="40"/>
      </w:pPr>
    </w:p>
    <w:p>
      <w:pPr>
        <w:spacing w:before="100" w:after="180" w:line="288" w:lineRule="auto"/>
        <w:ind w:left="259" w:right="259"/>
        <w:shd w:fill="F4F6F9"/>
      </w:pPr>
      <w:r>
        <w:rPr>
          <w:rFonts w:ascii="Calibri" w:hAnsi="Calibri" w:eastAsia="Microsoft YaHei"/>
          <w:b/>
          <w:color w:val="1F3A5F"/>
          <w:sz w:val="21"/>
        </w:rPr>
        <w:t>实施顺序：</w:t>
      </w:r>
      <w:r>
        <w:rPr>
          <w:rFonts w:ascii="Calibri" w:hAnsi="Calibri" w:eastAsia="Microsoft YaHei"/>
          <w:sz w:val="21"/>
        </w:rPr>
        <w:t>先形成理论与治理基线，再设计教学案例，最后实现代码。教学和代码都应映射回同一份规则契约与验收口径，避免出现“文档讲治理、代码只做替换”的断裂。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14. 结论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企业级数据清洗的价值不在于把更多文档送进向量数据库，而在于以可控方式把正确、适用、可追溯的知识送入正确的空间。通用清洗确保基础可读性和安全底线，业务语义治理确保内容在真实组织语境下仍然成立，发布门禁和持续运营则确保系统可以经受变化、审计和事故处置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后续教学设计应把这套方法拆成循序渐进的案例，而代码落地应围绕统一文档模型、规则契约、决策聚合、发布路由和审计血缘建设。两者的共同验收标准，应始终是：一份知识为什么可以被发布，以及在条件变化时如何被解释、撤回和重建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 A：发布契约模板</w:t>
      </w:r>
    </w:p>
    <w:p>
      <w:pPr>
        <w:spacing w:before="60" w:after="160" w:line="259" w:lineRule="auto"/>
        <w:ind w:left="317" w:right="317"/>
        <w:shd w:fill="F2F4F7"/>
      </w:pPr>
      <w:r>
        <w:rPr>
          <w:rFonts w:ascii="Consolas" w:hAnsi="Consolas" w:eastAsia="Microsoft YaHei"/>
          <w:sz w:val="18"/>
        </w:rPr>
        <w:t>knowledge_domain: &lt;domain&gt;</w:t>
        <w:br/>
        <w:t>source_owner: &lt;role&gt;</w:t>
        <w:br/>
        <w:t>publication_scope: &lt;internal|restricted|public&gt;</w:t>
        <w:br/>
        <w:t>allowed_roles: [&lt;role&gt;]</w:t>
        <w:br/>
        <w:t>auto_publish_when:</w:t>
        <w:br/>
        <w:t xml:space="preserve">  - document_status == approved</w:t>
        <w:br/>
        <w:t xml:space="preserve">  - authority_status == current_authoritative</w:t>
        <w:br/>
        <w:t xml:space="preserve">  - quality_gate == passed</w:t>
        <w:br/>
        <w:t xml:space="preserve">  - security_gate == passed</w:t>
        <w:br/>
        <w:t xml:space="preserve">  - classification matches publication_scope</w:t>
        <w:br/>
        <w:t xml:space="preserve">  - allowed_roles are valid</w:t>
        <w:br/>
        <w:t xml:space="preserve">  - review_required == false</w:t>
        <w:br/>
        <w:t>review_when:</w:t>
        <w:br/>
        <w:t xml:space="preserve">  - classification == unknown</w:t>
        <w:br/>
        <w:t xml:space="preserve">  - business_state in [draft, trial]</w:t>
        <w:br/>
        <w:t xml:space="preserve">  - authority_status in [unknown, conflict]</w:t>
        <w:br/>
        <w:t xml:space="preserve">  - applicability is incomplete</w:t>
        <w:br/>
        <w:t>block_when:</w:t>
        <w:br/>
        <w:t xml:space="preserve">  - secret_detected == true</w:t>
        <w:br/>
        <w:t xml:space="preserve">  - malicious_file == true</w:t>
        <w:br/>
        <w:t xml:space="preserve">  - publication_prohibited == true</w:t>
        <w:br/>
        <w:t>non_overridable_priorities: [P0]</w:t>
        <w:br/>
        <w:t>processing_failure_route: RETRY_QUEUE</w:t>
        <w:br/>
        <w:t>review_sla: &lt;duration&gt;</w:t>
        <w:br/>
        <w:t>retention_policy: &lt;policy_id&gt;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 B：人工复核记录模板</w:t>
      </w:r>
    </w:p>
    <w:p>
      <w:pPr>
        <w:keepNext/>
        <w:spacing w:before="80" w:after="80"/>
      </w:pPr>
      <w:r>
        <w:rPr>
          <w:rFonts w:ascii="Calibri" w:hAnsi="Calibri" w:eastAsia="Microsoft YaHei"/>
          <w:b/>
          <w:color w:val="666666"/>
          <w:sz w:val="18"/>
        </w:rPr>
        <w:t>表 21  复核记录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6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填写内容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文档 / 来源 / 版本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知识域 / 目标空间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进入复核的原因码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脱敏预览检查结论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质量与时效性判断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审核决定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approve / reject / request_changes / override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决定依据与例外期限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审核人 / 时间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后续动作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发布 / 整改 / 安全升级 / 撤回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 C：上线前检查表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Microsoft YaHei"/>
          <w:sz w:val="22"/>
        </w:rPr>
        <w:t>已确认每个数据源的拥有者、用途、知识域、更新频率和保留策略。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Microsoft YaHei"/>
          <w:sz w:val="22"/>
        </w:rPr>
        <w:t>已确认每个目标知识空间的角色、密级和自动发布边界。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Microsoft YaHei"/>
          <w:sz w:val="22"/>
        </w:rPr>
        <w:t>已为 P0/P1 风险建立测试集，且报告和日志无明文泄漏。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Microsoft YaHei"/>
          <w:sz w:val="22"/>
        </w:rPr>
        <w:t>已定义 REVIEW 队列责任人、SLA、授权范围和例外流程。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Microsoft YaHei"/>
          <w:sz w:val="22"/>
        </w:rPr>
        <w:t>已验证 PASS、REVIEW、BLOCK、撤回和重跑的端到端链路。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Microsoft YaHei"/>
          <w:sz w:val="22"/>
        </w:rPr>
        <w:t>已为规则与来源变更准备影子运行、灰度、回滚和影响评估机制。</w:t>
      </w:r>
    </w:p>
    <w:sectPr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6666"/>
        <w:sz w:val="17"/>
      </w:rPr>
      <w:t xml:space="preserve">企业知识库数据治理 | 第 </w:t>
    </w:r>
    <w:r>
      <w:rPr>
        <w:rFonts w:ascii="Calibri" w:hAnsi="Calibri" w:eastAsia="Microsoft YaHei"/>
        <w:color w:val="666666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666666"/>
        <w:sz w:val="17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66666"/>
        <w:sz w:val="17"/>
      </w:rPr>
      <w:t>企业知识库数据清洗治理技术白皮书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  <w:rPr>
        <w:rFonts w:ascii="Microsoft YaHei" w:hAnsi="Microsoft YaHe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  <w:rPr>
        <w:rFonts w:ascii="Microsoft YaHei" w:hAnsi="Microsoft YaHei" w:eastAsia="Microsoft YaHei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  <w:rPr>
        <w:rFonts w:ascii="Microsoft YaHei" w:hAnsi="Microsoft YaHei" w:eastAsia="Microsoft YaHei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  <w:rPr>
        <w:rFonts w:ascii="Microsoft YaHei" w:hAnsi="Microsoft YaHei" w:eastAsia="Microsoft YaHei"/>
      </w:r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□"/>
      <w:lvlJc w:val="left"/>
      <w:pPr>
        <w:tabs>
          <w:tab w:val="num" w:pos="540"/>
        </w:tabs>
        <w:ind w:left="540" w:hanging="271"/>
      </w:pPr>
      <w:rPr>
        <w:rFonts w:ascii="Microsoft YaHei" w:hAnsi="Microsoft YaHei" w:eastAsia="Microsoft YaHei"/>
      </w:r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  <w:rPr>
        <w:rFonts w:ascii="Microsoft YaHei" w:hAnsi="Microsoft YaHei" w:eastAsia="Microsoft YaHei"/>
      </w:r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□"/>
      <w:lvlJc w:val="left"/>
      <w:pPr>
        <w:tabs>
          <w:tab w:val="num" w:pos="540"/>
        </w:tabs>
        <w:ind w:left="540" w:hanging="271"/>
      </w:pPr>
      <w:rPr>
        <w:rFonts w:ascii="Microsoft YaHei" w:hAnsi="Microsoft YaHei" w:eastAsia="Microsoft YaHei"/>
      </w:r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  <w:rPr>
        <w:rFonts w:ascii="Microsoft YaHei" w:hAnsi="Microsoft YaHei" w:eastAsia="Microsoft YaHei"/>
      </w:r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□"/>
      <w:lvlJc w:val="left"/>
      <w:pPr>
        <w:tabs>
          <w:tab w:val="num" w:pos="540"/>
        </w:tabs>
        <w:ind w:left="540" w:hanging="271"/>
      </w:pPr>
      <w:rPr>
        <w:rFonts w:ascii="Microsoft YaHei" w:hAnsi="Microsoft YaHei" w:eastAsia="Microsoft YaHei"/>
      </w:rPr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企业知识库数据清洗治理技术白皮书</dc:title>
  <dc:subject>企业知识库数据清洗、业务语义治理、质量门禁与发布控制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