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BF75" w14:textId="7880008F" w:rsidR="003B13E7" w:rsidRPr="0039390A" w:rsidRDefault="0039390A" w:rsidP="0039390A">
      <w:pPr>
        <w:pStyle w:val="a3"/>
        <w:numPr>
          <w:ilvl w:val="0"/>
          <w:numId w:val="7"/>
        </w:numPr>
        <w:ind w:leftChars="0" w:firstLineChars="0"/>
        <w:rPr>
          <w:sz w:val="32"/>
          <w:szCs w:val="28"/>
        </w:rPr>
      </w:pPr>
      <w:r w:rsidRPr="0039390A">
        <w:rPr>
          <w:rFonts w:hint="eastAsia"/>
          <w:sz w:val="32"/>
          <w:szCs w:val="28"/>
        </w:rPr>
        <w:t>動機</w:t>
      </w:r>
    </w:p>
    <w:p w14:paraId="37E97688" w14:textId="1DBC2619" w:rsidR="00511498" w:rsidRPr="005F6615" w:rsidRDefault="003A1F7A" w:rsidP="0039390A">
      <w:pPr>
        <w:ind w:firstLine="480"/>
      </w:pPr>
      <w:r w:rsidRPr="003A1F7A">
        <w:rPr>
          <w:rFonts w:hint="eastAsia"/>
        </w:rPr>
        <w:t>近年來</w:t>
      </w:r>
      <w:r w:rsidR="00160390">
        <w:rPr>
          <w:rFonts w:hint="eastAsia"/>
        </w:rPr>
        <w:t>「綠</w:t>
      </w:r>
      <w:r w:rsidR="00E931F7">
        <w:rPr>
          <w:rFonts w:hint="eastAsia"/>
        </w:rPr>
        <w:t>電</w:t>
      </w:r>
      <w:r w:rsidR="00160390">
        <w:rPr>
          <w:rFonts w:hint="eastAsia"/>
        </w:rPr>
        <w:t>」議題紅遍全球，</w:t>
      </w:r>
      <w:r w:rsidR="00E931F7">
        <w:rPr>
          <w:rFonts w:hint="eastAsia"/>
        </w:rPr>
        <w:t>因此國內外許多學者紛紛投入於此，開發的範疇涵蓋「太陽能」、「水力」、「風力」以及「潮汐」多元的發電技術邁進，</w:t>
      </w:r>
      <w:r w:rsidR="005F6615">
        <w:rPr>
          <w:rFonts w:hint="eastAsia"/>
        </w:rPr>
        <w:t>台灣也跟進於此，然而對於</w:t>
      </w:r>
    </w:p>
    <w:p w14:paraId="30A6FF73" w14:textId="77777777" w:rsidR="00511498" w:rsidRDefault="00511498" w:rsidP="0039390A">
      <w:pPr>
        <w:ind w:firstLine="480"/>
      </w:pPr>
    </w:p>
    <w:p w14:paraId="71ED6507" w14:textId="127514AE" w:rsidR="0039390A" w:rsidRPr="0039390A" w:rsidRDefault="003A1F7A" w:rsidP="0039390A">
      <w:pPr>
        <w:ind w:firstLine="480"/>
      </w:pPr>
      <w:r w:rsidRPr="003A1F7A">
        <w:rPr>
          <w:rFonts w:hint="eastAsia"/>
        </w:rPr>
        <w:t>的斷線現象相較</w:t>
      </w:r>
      <w:r w:rsidRPr="003A1F7A">
        <w:rPr>
          <w:rFonts w:hint="eastAsia"/>
        </w:rPr>
        <w:t>4.5</w:t>
      </w:r>
      <w:r w:rsidRPr="003A1F7A">
        <w:rPr>
          <w:rFonts w:hint="eastAsia"/>
        </w:rPr>
        <w:t>年前大幅增加，為了研究發電不足的問題觀察了</w:t>
      </w:r>
      <w:r w:rsidRPr="003A1F7A">
        <w:rPr>
          <w:rFonts w:hint="eastAsia"/>
        </w:rPr>
        <w:t>5</w:t>
      </w:r>
      <w:r w:rsidRPr="003A1F7A">
        <w:rPr>
          <w:rFonts w:hint="eastAsia"/>
        </w:rPr>
        <w:t>年</w:t>
      </w:r>
      <w:r w:rsidRPr="003A1F7A">
        <w:rPr>
          <w:rFonts w:hint="eastAsia"/>
        </w:rPr>
        <w:t>~9</w:t>
      </w:r>
      <w:r w:rsidRPr="003A1F7A">
        <w:rPr>
          <w:rFonts w:hint="eastAsia"/>
        </w:rPr>
        <w:t>年前的資料進行研究</w:t>
      </w:r>
      <w:r w:rsidR="00676B65">
        <w:rPr>
          <w:rFonts w:hint="eastAsia"/>
        </w:rPr>
        <w:t>。</w:t>
      </w:r>
    </w:p>
    <w:p w14:paraId="4AAA087C" w14:textId="6D3D24B5" w:rsidR="0039390A" w:rsidRDefault="0039390A" w:rsidP="0039390A">
      <w:pPr>
        <w:pStyle w:val="a3"/>
        <w:numPr>
          <w:ilvl w:val="0"/>
          <w:numId w:val="7"/>
        </w:numPr>
        <w:ind w:leftChars="0" w:firstLineChars="0"/>
        <w:rPr>
          <w:sz w:val="32"/>
          <w:szCs w:val="28"/>
        </w:rPr>
      </w:pPr>
      <w:r w:rsidRPr="0039390A">
        <w:rPr>
          <w:rFonts w:hint="eastAsia"/>
          <w:sz w:val="32"/>
          <w:szCs w:val="28"/>
        </w:rPr>
        <w:t>目的</w:t>
      </w:r>
    </w:p>
    <w:p w14:paraId="36369470" w14:textId="10D0A214" w:rsidR="00F47121" w:rsidRPr="00F47121" w:rsidRDefault="003A1F7A" w:rsidP="00F47121">
      <w:pPr>
        <w:ind w:firstLine="480"/>
      </w:pPr>
      <w:r w:rsidRPr="003A1F7A">
        <w:rPr>
          <w:rFonts w:hint="eastAsia"/>
        </w:rPr>
        <w:t>透過計算並評估</w:t>
      </w:r>
      <w:r w:rsidRPr="003A1F7A">
        <w:rPr>
          <w:rFonts w:hint="eastAsia"/>
        </w:rPr>
        <w:t>2014</w:t>
      </w:r>
      <w:r w:rsidRPr="003A1F7A">
        <w:rPr>
          <w:rFonts w:hint="eastAsia"/>
        </w:rPr>
        <w:t>年</w:t>
      </w:r>
      <w:r w:rsidRPr="003A1F7A">
        <w:rPr>
          <w:rFonts w:hint="eastAsia"/>
        </w:rPr>
        <w:t>~2018</w:t>
      </w:r>
      <w:r w:rsidRPr="003A1F7A">
        <w:rPr>
          <w:rFonts w:hint="eastAsia"/>
        </w:rPr>
        <w:t>年期間各種類發電廠發電量佔比當作依據，研究適合台灣主要發電的發電種類及各發電潛力以達到解決近年來頻繁發生斷電的情況</w:t>
      </w:r>
      <w:r w:rsidR="00676B65">
        <w:rPr>
          <w:rFonts w:hint="eastAsia"/>
        </w:rPr>
        <w:t>。</w:t>
      </w:r>
    </w:p>
    <w:p w14:paraId="2DDDBED4" w14:textId="29A23EEF" w:rsidR="0039390A" w:rsidRDefault="0039390A" w:rsidP="0039390A">
      <w:pPr>
        <w:pStyle w:val="a3"/>
        <w:numPr>
          <w:ilvl w:val="0"/>
          <w:numId w:val="7"/>
        </w:numPr>
        <w:ind w:leftChars="0" w:firstLineChars="0"/>
        <w:rPr>
          <w:sz w:val="32"/>
          <w:szCs w:val="28"/>
        </w:rPr>
      </w:pPr>
      <w:r w:rsidRPr="0039390A">
        <w:rPr>
          <w:rFonts w:hint="eastAsia"/>
          <w:sz w:val="32"/>
          <w:szCs w:val="28"/>
        </w:rPr>
        <w:t>作法</w:t>
      </w:r>
    </w:p>
    <w:p w14:paraId="5CBE79D5" w14:textId="1ED88A75" w:rsidR="00913C39" w:rsidRDefault="00F47121" w:rsidP="00FE346C">
      <w:pPr>
        <w:ind w:firstLine="480"/>
        <w:rPr>
          <w:color w:val="000000" w:themeColor="text1"/>
        </w:rPr>
      </w:pPr>
      <w:r>
        <w:rPr>
          <w:rFonts w:hint="eastAsia"/>
        </w:rPr>
        <w:t>我們透過一個簡單的公式計算出台灣</w:t>
      </w:r>
      <w:r w:rsidR="005950AF">
        <w:rPr>
          <w:rFonts w:hint="eastAsia"/>
        </w:rPr>
        <w:t>每年</w:t>
      </w:r>
      <w:r>
        <w:rPr>
          <w:rFonts w:hint="eastAsia"/>
        </w:rPr>
        <w:t>各種類發電量佔比</w:t>
      </w:r>
      <w:r w:rsidR="00FE346C">
        <w:rPr>
          <w:rFonts w:hint="eastAsia"/>
        </w:rPr>
        <w:t>，</w:t>
      </w:r>
      <w:r w:rsidR="00830AE9">
        <w:rPr>
          <w:rFonts w:hint="eastAsia"/>
        </w:rPr>
        <w:t>就可以判斷台灣的發電量正負</w:t>
      </w:r>
      <w:r>
        <w:rPr>
          <w:rFonts w:hint="eastAsia"/>
        </w:rPr>
        <w:t>成長。</w:t>
      </w:r>
      <w:r w:rsidRPr="00FE346C">
        <w:rPr>
          <w:rFonts w:hint="eastAsia"/>
          <w:color w:val="FF0000"/>
        </w:rPr>
        <w:t>假設</w:t>
      </w:r>
      <w:r>
        <w:rPr>
          <w:rFonts w:hint="eastAsia"/>
        </w:rPr>
        <w:t>發電方式</w:t>
      </w:r>
      <w:r w:rsidR="00083333">
        <w:rPr>
          <w:rFonts w:hint="eastAsia"/>
        </w:rPr>
        <w:t>只</w:t>
      </w:r>
      <w:r>
        <w:rPr>
          <w:rFonts w:hint="eastAsia"/>
        </w:rPr>
        <w:t>有</w:t>
      </w:r>
      <w:r w:rsidRPr="00F47121">
        <w:rPr>
          <w:rFonts w:hint="eastAsia"/>
          <w:color w:val="FF0000"/>
        </w:rPr>
        <w:t>火力</w:t>
      </w:r>
      <w:r w:rsidRPr="00F47121">
        <w:rPr>
          <w:rFonts w:hint="eastAsia"/>
          <w:color w:val="FF0000"/>
        </w:rPr>
        <w:t>(F)</w:t>
      </w:r>
      <w:r w:rsidRPr="00F47121">
        <w:rPr>
          <w:rFonts w:hint="eastAsia"/>
          <w:color w:val="FF0000"/>
        </w:rPr>
        <w:t>、水力</w:t>
      </w:r>
      <w:r w:rsidRPr="00F47121">
        <w:rPr>
          <w:rFonts w:hint="eastAsia"/>
          <w:color w:val="FF0000"/>
        </w:rPr>
        <w:t>(W)</w:t>
      </w:r>
      <w:r w:rsidRPr="00F47121">
        <w:rPr>
          <w:rFonts w:hint="eastAsia"/>
          <w:color w:val="FF0000"/>
        </w:rPr>
        <w:t>、再生能源</w:t>
      </w:r>
      <w:r w:rsidRPr="00F47121">
        <w:rPr>
          <w:rFonts w:hint="eastAsia"/>
          <w:color w:val="FF0000"/>
        </w:rPr>
        <w:t>(R)</w:t>
      </w:r>
      <w:r w:rsidRPr="00F47121">
        <w:rPr>
          <w:rFonts w:hint="eastAsia"/>
          <w:color w:val="FF0000"/>
        </w:rPr>
        <w:t>、核能</w:t>
      </w:r>
      <w:r w:rsidRPr="00F47121">
        <w:rPr>
          <w:rFonts w:hint="eastAsia"/>
          <w:color w:val="FF0000"/>
        </w:rPr>
        <w:t>(N)</w:t>
      </w:r>
      <w:r w:rsidR="00FE346C">
        <w:rPr>
          <w:rFonts w:hint="eastAsia"/>
          <w:color w:val="000000" w:themeColor="text1"/>
        </w:rPr>
        <w:t>這些發電</w:t>
      </w:r>
      <w:r w:rsidR="005950AF">
        <w:rPr>
          <w:rFonts w:hint="eastAsia"/>
          <w:color w:val="000000" w:themeColor="text1"/>
        </w:rPr>
        <w:t>量</w:t>
      </w:r>
      <w:r w:rsidR="00FE346C">
        <w:rPr>
          <w:rFonts w:hint="eastAsia"/>
          <w:color w:val="000000" w:themeColor="text1"/>
        </w:rPr>
        <w:t>是以每年台灣</w:t>
      </w:r>
      <w:r w:rsidR="005950AF">
        <w:rPr>
          <w:rFonts w:hint="eastAsia"/>
          <w:color w:val="000000" w:themeColor="text1"/>
        </w:rPr>
        <w:t>經濟部能源局統計出的數據</w:t>
      </w:r>
      <w:r w:rsidR="005950AF">
        <w:rPr>
          <w:color w:val="000000" w:themeColor="text1"/>
        </w:rPr>
        <w:fldChar w:fldCharType="begin"/>
      </w:r>
      <w:r w:rsidR="005950AF">
        <w:rPr>
          <w:color w:val="000000" w:themeColor="text1"/>
        </w:rPr>
        <w:instrText xml:space="preserve"> </w:instrText>
      </w:r>
      <w:r w:rsidR="005950AF">
        <w:rPr>
          <w:rFonts w:hint="eastAsia"/>
          <w:color w:val="000000" w:themeColor="text1"/>
        </w:rPr>
        <w:instrText>REF _Ref132037175 \r \h</w:instrText>
      </w:r>
      <w:r w:rsidR="005950AF">
        <w:rPr>
          <w:color w:val="000000" w:themeColor="text1"/>
        </w:rPr>
        <w:instrText xml:space="preserve"> </w:instrText>
      </w:r>
      <w:r w:rsidR="005950AF">
        <w:rPr>
          <w:color w:val="000000" w:themeColor="text1"/>
        </w:rPr>
      </w:r>
      <w:r w:rsidR="005950AF">
        <w:rPr>
          <w:color w:val="000000" w:themeColor="text1"/>
        </w:rPr>
        <w:fldChar w:fldCharType="separate"/>
      </w:r>
      <w:r w:rsidR="005950AF">
        <w:rPr>
          <w:color w:val="000000" w:themeColor="text1"/>
        </w:rPr>
        <w:t>[1]</w:t>
      </w:r>
      <w:r w:rsidR="005950AF">
        <w:rPr>
          <w:color w:val="000000" w:themeColor="text1"/>
        </w:rPr>
        <w:fldChar w:fldCharType="end"/>
      </w:r>
      <w:r w:rsidR="00083333">
        <w:rPr>
          <w:rFonts w:hint="eastAsia"/>
          <w:color w:val="000000" w:themeColor="text1"/>
        </w:rPr>
        <w:t>，在使用</w:t>
      </w:r>
      <w:r w:rsidR="00083333" w:rsidRPr="00083333">
        <w:rPr>
          <w:rFonts w:hint="eastAsia"/>
          <w:color w:val="FF0000"/>
        </w:rPr>
        <w:t>比例公式</w:t>
      </w:r>
      <w:r w:rsidR="00083333">
        <w:rPr>
          <w:rFonts w:hint="eastAsia"/>
          <w:color w:val="000000" w:themeColor="text1"/>
        </w:rPr>
        <w:t>建立模型。</w:t>
      </w:r>
    </w:p>
    <w:p w14:paraId="0F0DCCB4" w14:textId="23954902" w:rsidR="00083333" w:rsidRDefault="004D32D6" w:rsidP="004D32D6">
      <w:pPr>
        <w:ind w:firstLine="480"/>
      </w:pPr>
      <w:r w:rsidRPr="004D32D6">
        <w:rPr>
          <w:rFonts w:hint="eastAsia"/>
        </w:rPr>
        <w:t>要計算發電量的佔比，需要先確定</w:t>
      </w:r>
      <w:r w:rsidR="001E2F24" w:rsidRPr="00FC1C85">
        <w:rPr>
          <w:rFonts w:hint="eastAsia"/>
          <w:color w:val="FF0000"/>
        </w:rPr>
        <w:t>可變的發電量、</w:t>
      </w:r>
      <w:r w:rsidRPr="00FC1C85">
        <w:rPr>
          <w:rFonts w:hint="eastAsia"/>
          <w:color w:val="FF0000"/>
        </w:rPr>
        <w:t>參考量</w:t>
      </w:r>
      <w:r w:rsidRPr="004D32D6">
        <w:rPr>
          <w:rFonts w:hint="eastAsia"/>
        </w:rPr>
        <w:t>和計算公式。</w:t>
      </w:r>
      <w:r w:rsidR="00083333">
        <w:rPr>
          <w:rFonts w:hint="eastAsia"/>
        </w:rPr>
        <w:t>通常情況下，發電量的佔比是相對於某個參考量的比例，如全國總發電量、區域總發電量或公司總發電量等</w:t>
      </w:r>
      <w:r w:rsidR="001E2F24">
        <w:rPr>
          <w:rFonts w:hint="eastAsia"/>
        </w:rPr>
        <w:t>，而可變的發電量必須小於參考量</w:t>
      </w:r>
      <w:r w:rsidR="003A1F7A">
        <w:rPr>
          <w:rFonts w:hint="eastAsia"/>
        </w:rPr>
        <w:t>。</w:t>
      </w:r>
      <w:r w:rsidR="001E2F24">
        <w:rPr>
          <w:rFonts w:hint="eastAsia"/>
        </w:rPr>
        <w:t>例如參考量為全國總發電量，則可變的發電量就可以是該地區、發電方式等等。</w:t>
      </w:r>
    </w:p>
    <w:p w14:paraId="12E9AECE" w14:textId="4CE75771" w:rsidR="00083333" w:rsidRPr="00083333" w:rsidRDefault="00083333" w:rsidP="00083333">
      <w:pPr>
        <w:ind w:firstLine="480"/>
      </w:pPr>
      <w:r>
        <w:rPr>
          <w:rFonts w:hint="eastAsia"/>
        </w:rPr>
        <w:t>接下來，可以使用以下公式計算發電量佔比：</w:t>
      </w:r>
    </w:p>
    <w:p w14:paraId="466DE857" w14:textId="44C7EF6B" w:rsidR="00083333" w:rsidRDefault="00083333" w:rsidP="003A1F7A">
      <w:pPr>
        <w:spacing w:line="480" w:lineRule="auto"/>
        <w:ind w:left="482" w:firstLine="480"/>
      </w:pPr>
      <w:r>
        <w:rPr>
          <w:rFonts w:hint="eastAsia"/>
        </w:rPr>
        <w:t>發電量佔比</w:t>
      </w:r>
      <w:r>
        <w:rPr>
          <w:rFonts w:hint="eastAsia"/>
        </w:rPr>
        <w:t xml:space="preserve"> =</w:t>
      </w:r>
      <w:r w:rsidR="00A701F9">
        <w:rPr>
          <w:rFonts w:hint="eastAsia"/>
        </w:rPr>
        <w:t xml:space="preserve"> </w:t>
      </w:r>
      <w:r>
        <w:rPr>
          <w:rFonts w:hint="eastAsia"/>
        </w:rPr>
        <w:t xml:space="preserve"> (</w:t>
      </w:r>
      <w:r w:rsidR="003A1F7A">
        <w:rPr>
          <w:rFonts w:hint="eastAsia"/>
        </w:rPr>
        <w:t>可變的發電量</w:t>
      </w:r>
      <w:r>
        <w:rPr>
          <w:rFonts w:hint="eastAsia"/>
        </w:rPr>
        <w:t xml:space="preserve"> </w:t>
      </w:r>
      <w:r>
        <w:rPr>
          <w:rFonts w:hint="eastAsia"/>
        </w:rPr>
        <w:t>÷</w:t>
      </w:r>
      <w:r>
        <w:rPr>
          <w:rFonts w:hint="eastAsia"/>
        </w:rPr>
        <w:t xml:space="preserve"> </w:t>
      </w:r>
      <w:r>
        <w:rPr>
          <w:rFonts w:hint="eastAsia"/>
        </w:rPr>
        <w:t>參考量的發電量</w:t>
      </w:r>
      <w:r>
        <w:rPr>
          <w:rFonts w:hint="eastAsia"/>
        </w:rPr>
        <w:t xml:space="preserve">) </w:t>
      </w:r>
      <w:r>
        <w:rPr>
          <w:rFonts w:hint="eastAsia"/>
        </w:rPr>
        <w:t>×</w:t>
      </w:r>
      <w:r>
        <w:rPr>
          <w:rFonts w:hint="eastAsia"/>
        </w:rPr>
        <w:t xml:space="preserve"> 100%</w:t>
      </w:r>
    </w:p>
    <w:p w14:paraId="096B6BB0" w14:textId="489172BC" w:rsidR="00083333" w:rsidRDefault="00083333" w:rsidP="00083333">
      <w:pPr>
        <w:ind w:firstLine="480"/>
      </w:pPr>
      <w:r>
        <w:rPr>
          <w:rFonts w:hint="eastAsia"/>
        </w:rPr>
        <w:t>例如</w:t>
      </w:r>
      <w:r w:rsidR="003A1F7A">
        <w:rPr>
          <w:rFonts w:hint="eastAsia"/>
        </w:rPr>
        <w:t>我們這邊</w:t>
      </w:r>
      <w:r>
        <w:rPr>
          <w:rFonts w:hint="eastAsia"/>
        </w:rPr>
        <w:t>假設</w:t>
      </w:r>
      <w:r w:rsidR="003A1F7A">
        <w:rPr>
          <w:rFonts w:hint="eastAsia"/>
        </w:rPr>
        <w:t>可變的發電量為</w:t>
      </w:r>
      <w:r>
        <w:rPr>
          <w:rFonts w:hint="eastAsia"/>
        </w:rPr>
        <w:t>火力發電量</w:t>
      </w:r>
      <w:r w:rsidR="003A1F7A">
        <w:rPr>
          <w:rFonts w:hint="eastAsia"/>
        </w:rPr>
        <w:t>並設為</w:t>
      </w:r>
      <w:r w:rsidR="00A701F9">
        <w:rPr>
          <w:rFonts w:hint="eastAsia"/>
        </w:rPr>
        <w:t>45</w:t>
      </w:r>
      <w:r>
        <w:t>00</w:t>
      </w:r>
      <w:r w:rsidR="00A701F9">
        <w:rPr>
          <w:rFonts w:hint="eastAsia"/>
        </w:rPr>
        <w:t>萬</w:t>
      </w:r>
      <w:r>
        <w:rPr>
          <w:rFonts w:hint="eastAsia"/>
        </w:rPr>
        <w:t>度電，而參考量我們</w:t>
      </w:r>
      <w:r w:rsidR="003A1F7A">
        <w:rPr>
          <w:rFonts w:hint="eastAsia"/>
        </w:rPr>
        <w:t>假設為</w:t>
      </w:r>
      <w:r>
        <w:rPr>
          <w:rFonts w:hint="eastAsia"/>
        </w:rPr>
        <w:t>該年總發電量</w:t>
      </w:r>
      <w:r w:rsidR="001E2F24">
        <w:rPr>
          <w:rFonts w:hint="eastAsia"/>
        </w:rPr>
        <w:t>並設為</w:t>
      </w:r>
      <w:r w:rsidR="00A701F9">
        <w:rPr>
          <w:rFonts w:hint="eastAsia"/>
        </w:rPr>
        <w:t>1</w:t>
      </w:r>
      <w:r w:rsidR="00A701F9">
        <w:rPr>
          <w:rFonts w:hint="eastAsia"/>
        </w:rPr>
        <w:t>億度電，</w:t>
      </w:r>
      <w:r w:rsidR="00A701F9" w:rsidRPr="00A701F9">
        <w:rPr>
          <w:rFonts w:hint="eastAsia"/>
        </w:rPr>
        <w:t>則</w:t>
      </w:r>
      <w:r w:rsidR="003A1F7A">
        <w:rPr>
          <w:rFonts w:hint="eastAsia"/>
        </w:rPr>
        <w:t>我們就可以利用比例公式開始計算，</w:t>
      </w:r>
      <w:r w:rsidR="00A701F9" w:rsidRPr="00A701F9">
        <w:rPr>
          <w:rFonts w:hint="eastAsia"/>
        </w:rPr>
        <w:t>該</w:t>
      </w:r>
      <w:r w:rsidR="00A701F9">
        <w:rPr>
          <w:rFonts w:hint="eastAsia"/>
        </w:rPr>
        <w:t>發電方式</w:t>
      </w:r>
      <w:r w:rsidR="00A701F9" w:rsidRPr="00A701F9">
        <w:rPr>
          <w:rFonts w:hint="eastAsia"/>
        </w:rPr>
        <w:t>的發電量佔比為</w:t>
      </w:r>
      <w:r w:rsidR="00A701F9">
        <w:rPr>
          <w:rFonts w:hint="eastAsia"/>
        </w:rPr>
        <w:t>:</w:t>
      </w:r>
    </w:p>
    <w:p w14:paraId="39673169" w14:textId="54825929" w:rsidR="00A701F9" w:rsidRDefault="00A701F9" w:rsidP="003A1F7A">
      <w:pPr>
        <w:spacing w:line="480" w:lineRule="auto"/>
        <w:ind w:firstLine="480"/>
      </w:pPr>
      <w:r>
        <w:tab/>
      </w:r>
      <w:r>
        <w:rPr>
          <w:rFonts w:hint="eastAsia"/>
        </w:rPr>
        <w:t>火力發電佔比</w:t>
      </w:r>
      <w:r>
        <w:rPr>
          <w:rFonts w:hint="eastAsia"/>
        </w:rPr>
        <w:t xml:space="preserve"> =  (4500 </w:t>
      </w:r>
      <w:r w:rsidRPr="00A701F9">
        <w:t>÷</w:t>
      </w:r>
      <w:r>
        <w:rPr>
          <w:rFonts w:hint="eastAsia"/>
        </w:rPr>
        <w:t xml:space="preserve"> 10000) </w:t>
      </w:r>
      <w:r>
        <w:rPr>
          <w:rFonts w:hint="eastAsia"/>
        </w:rPr>
        <w:t>×</w:t>
      </w:r>
      <w:r>
        <w:rPr>
          <w:rFonts w:hint="eastAsia"/>
        </w:rPr>
        <w:t xml:space="preserve"> 100% = 45%</w:t>
      </w:r>
    </w:p>
    <w:p w14:paraId="3740D0D4" w14:textId="127B1CE0" w:rsidR="004D32D6" w:rsidRDefault="004D32D6" w:rsidP="00083333">
      <w:pPr>
        <w:ind w:firstLine="480"/>
      </w:pPr>
      <w:r>
        <w:rPr>
          <w:rFonts w:hint="eastAsia"/>
        </w:rPr>
        <w:t>因此，可以得知火力發電佔該年發電量</w:t>
      </w:r>
      <w:r>
        <w:rPr>
          <w:rFonts w:hint="eastAsia"/>
        </w:rPr>
        <w:t>45%</w:t>
      </w:r>
    </w:p>
    <w:p w14:paraId="2438238F" w14:textId="5880854C" w:rsidR="004D32D6" w:rsidRPr="00083333" w:rsidRDefault="004D32D6" w:rsidP="00083333">
      <w:pPr>
        <w:ind w:firstLine="480"/>
      </w:pPr>
      <w:r w:rsidRPr="004D32D6">
        <w:rPr>
          <w:rFonts w:hint="eastAsia"/>
        </w:rPr>
        <w:t>需要</w:t>
      </w:r>
      <w:r w:rsidRPr="003A1F7A">
        <w:rPr>
          <w:rFonts w:hint="eastAsia"/>
          <w:color w:val="FF0000"/>
        </w:rPr>
        <w:t>注意</w:t>
      </w:r>
      <w:r w:rsidRPr="004D32D6">
        <w:rPr>
          <w:rFonts w:hint="eastAsia"/>
        </w:rPr>
        <w:t>的是，參考量的選擇需要考慮具體情況和目的，</w:t>
      </w:r>
      <w:r w:rsidRPr="003A1F7A">
        <w:rPr>
          <w:rFonts w:hint="eastAsia"/>
          <w:color w:val="FF0000"/>
        </w:rPr>
        <w:t>不同的參考量可能會得到不同的發電量佔比結果</w:t>
      </w:r>
      <w:r w:rsidRPr="004D32D6">
        <w:rPr>
          <w:rFonts w:hint="eastAsia"/>
        </w:rPr>
        <w:t>。同時，在實際計算中，還需要注意數據的準確性和可靠性，以及可能存在的誤差和偏差。</w:t>
      </w:r>
    </w:p>
    <w:p w14:paraId="17A162E4" w14:textId="77777777" w:rsidR="00830AE9" w:rsidRPr="00830AE9" w:rsidRDefault="0039390A" w:rsidP="00830AE9">
      <w:pPr>
        <w:pStyle w:val="a3"/>
        <w:numPr>
          <w:ilvl w:val="0"/>
          <w:numId w:val="7"/>
        </w:numPr>
        <w:ind w:leftChars="0" w:firstLineChars="0"/>
        <w:rPr>
          <w:sz w:val="32"/>
          <w:szCs w:val="28"/>
        </w:rPr>
      </w:pPr>
      <w:r w:rsidRPr="0039390A">
        <w:rPr>
          <w:rFonts w:hint="eastAsia"/>
          <w:sz w:val="32"/>
          <w:szCs w:val="28"/>
        </w:rPr>
        <w:t>驗證</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30AE9" w14:paraId="3EEE5DD9" w14:textId="77777777" w:rsidTr="00087CF3">
        <w:tc>
          <w:tcPr>
            <w:tcW w:w="8306" w:type="dxa"/>
          </w:tcPr>
          <w:p w14:paraId="45112CBE" w14:textId="2C8CBE55" w:rsidR="00830AE9" w:rsidRDefault="00AC5928" w:rsidP="00AF2A6E">
            <w:pPr>
              <w:ind w:firstLineChars="0" w:firstLine="0"/>
              <w:jc w:val="center"/>
            </w:pPr>
            <w:r w:rsidRPr="00AC5928">
              <w:rPr>
                <w:rFonts w:hint="eastAsia"/>
                <w:noProof/>
              </w:rPr>
              <w:lastRenderedPageBreak/>
              <w:drawing>
                <wp:inline distT="0" distB="0" distL="0" distR="0" wp14:anchorId="2E6E7CF3" wp14:editId="378FDF94">
                  <wp:extent cx="5149901" cy="74168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916" cy="741970"/>
                          </a:xfrm>
                          <a:prstGeom prst="rect">
                            <a:avLst/>
                          </a:prstGeom>
                          <a:noFill/>
                          <a:ln>
                            <a:noFill/>
                          </a:ln>
                        </pic:spPr>
                      </pic:pic>
                    </a:graphicData>
                  </a:graphic>
                </wp:inline>
              </w:drawing>
            </w:r>
          </w:p>
        </w:tc>
      </w:tr>
      <w:tr w:rsidR="00830AE9" w14:paraId="7E0F5B86" w14:textId="77777777" w:rsidTr="00087CF3">
        <w:tc>
          <w:tcPr>
            <w:tcW w:w="8306" w:type="dxa"/>
          </w:tcPr>
          <w:p w14:paraId="59932C17" w14:textId="24AD0173" w:rsidR="00830AE9" w:rsidRPr="00AF2A6E" w:rsidRDefault="00AF2A6E" w:rsidP="00AF2A6E">
            <w:pPr>
              <w:pStyle w:val="ab"/>
              <w:ind w:firstLineChars="0" w:firstLine="0"/>
              <w:jc w:val="center"/>
            </w:pPr>
            <w:bookmarkStart w:id="0" w:name="_Ref132043400"/>
            <w:r w:rsidRPr="0021335B">
              <w:rPr>
                <w:rFonts w:hint="eastAsia"/>
                <w:sz w:val="24"/>
                <w:szCs w:val="24"/>
              </w:rPr>
              <w:t>圖</w:t>
            </w:r>
            <w:r w:rsidRPr="0021335B">
              <w:rPr>
                <w:sz w:val="24"/>
                <w:szCs w:val="24"/>
              </w:rPr>
              <w:fldChar w:fldCharType="begin"/>
            </w:r>
            <w:r w:rsidRPr="0021335B">
              <w:rPr>
                <w:sz w:val="24"/>
                <w:szCs w:val="24"/>
              </w:rPr>
              <w:instrText xml:space="preserve"> </w:instrText>
            </w:r>
            <w:r w:rsidRPr="0021335B">
              <w:rPr>
                <w:rFonts w:hint="eastAsia"/>
                <w:sz w:val="24"/>
                <w:szCs w:val="24"/>
              </w:rPr>
              <w:instrText xml:space="preserve">SEQ </w:instrText>
            </w:r>
            <w:r w:rsidRPr="0021335B">
              <w:rPr>
                <w:rFonts w:hint="eastAsia"/>
                <w:sz w:val="24"/>
                <w:szCs w:val="24"/>
              </w:rPr>
              <w:instrText>圖</w:instrText>
            </w:r>
            <w:r w:rsidRPr="0021335B">
              <w:rPr>
                <w:rFonts w:hint="eastAsia"/>
                <w:sz w:val="24"/>
                <w:szCs w:val="24"/>
              </w:rPr>
              <w:instrText xml:space="preserve"> \* ARABIC</w:instrText>
            </w:r>
            <w:r w:rsidRPr="0021335B">
              <w:rPr>
                <w:sz w:val="24"/>
                <w:szCs w:val="24"/>
              </w:rPr>
              <w:instrText xml:space="preserve"> </w:instrText>
            </w:r>
            <w:r w:rsidRPr="0021335B">
              <w:rPr>
                <w:sz w:val="24"/>
                <w:szCs w:val="24"/>
              </w:rPr>
              <w:fldChar w:fldCharType="separate"/>
            </w:r>
            <w:r w:rsidR="00087CF3">
              <w:rPr>
                <w:noProof/>
                <w:sz w:val="24"/>
                <w:szCs w:val="24"/>
              </w:rPr>
              <w:t>1</w:t>
            </w:r>
            <w:r w:rsidRPr="0021335B">
              <w:rPr>
                <w:sz w:val="24"/>
                <w:szCs w:val="24"/>
              </w:rPr>
              <w:fldChar w:fldCharType="end"/>
            </w:r>
            <w:bookmarkEnd w:id="0"/>
            <w:r w:rsidRPr="0021335B">
              <w:rPr>
                <w:rFonts w:hint="eastAsia"/>
                <w:sz w:val="24"/>
                <w:szCs w:val="24"/>
              </w:rPr>
              <w:t>:</w:t>
            </w:r>
            <w:r w:rsidRPr="0021335B">
              <w:rPr>
                <w:rFonts w:hint="eastAsia"/>
                <w:sz w:val="24"/>
                <w:szCs w:val="24"/>
              </w:rPr>
              <w:t>歷年各種發電方式發電量</w:t>
            </w:r>
          </w:p>
        </w:tc>
      </w:tr>
      <w:tr w:rsidR="0021335B" w14:paraId="688531F2" w14:textId="77777777" w:rsidTr="00087CF3">
        <w:tc>
          <w:tcPr>
            <w:tcW w:w="8306" w:type="dxa"/>
          </w:tcPr>
          <w:p w14:paraId="0A39DAA2" w14:textId="5E7F173A" w:rsidR="0021335B" w:rsidRPr="0021335B" w:rsidRDefault="0021335B" w:rsidP="0021335B">
            <w:pPr>
              <w:ind w:firstLineChars="0" w:firstLine="0"/>
              <w:jc w:val="center"/>
            </w:pPr>
            <w:r>
              <w:rPr>
                <w:noProof/>
              </w:rPr>
              <w:drawing>
                <wp:inline distT="0" distB="0" distL="0" distR="0" wp14:anchorId="4CAAF3B2" wp14:editId="5E97F0EB">
                  <wp:extent cx="3339194" cy="1649185"/>
                  <wp:effectExtent l="0" t="0" r="13970" b="8255"/>
                  <wp:docPr id="1" name="圖表 1">
                    <a:extLst xmlns:a="http://schemas.openxmlformats.org/drawingml/2006/main">
                      <a:ext uri="{FF2B5EF4-FFF2-40B4-BE49-F238E27FC236}">
                        <a16:creationId xmlns:a16="http://schemas.microsoft.com/office/drawing/2014/main" id="{9B38717E-D112-43CD-DF60-7A8EFD93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21335B" w14:paraId="184148C2" w14:textId="77777777" w:rsidTr="00087CF3">
        <w:tc>
          <w:tcPr>
            <w:tcW w:w="8306" w:type="dxa"/>
          </w:tcPr>
          <w:p w14:paraId="0F8263F4" w14:textId="42D079A0" w:rsidR="0021335B" w:rsidRPr="0021335B" w:rsidRDefault="00087CF3" w:rsidP="00087CF3">
            <w:pPr>
              <w:pStyle w:val="ab"/>
              <w:ind w:firstLineChars="0" w:firstLine="0"/>
              <w:jc w:val="center"/>
            </w:pPr>
            <w:bookmarkStart w:id="1" w:name="_Ref132044436"/>
            <w:r w:rsidRPr="00087CF3">
              <w:rPr>
                <w:rFonts w:hint="eastAsia"/>
                <w:sz w:val="24"/>
                <w:szCs w:val="24"/>
              </w:rPr>
              <w:t>圖</w:t>
            </w:r>
            <w:r w:rsidRPr="00087CF3">
              <w:rPr>
                <w:sz w:val="24"/>
                <w:szCs w:val="24"/>
              </w:rPr>
              <w:fldChar w:fldCharType="begin"/>
            </w:r>
            <w:r w:rsidRPr="00087CF3">
              <w:rPr>
                <w:sz w:val="24"/>
                <w:szCs w:val="24"/>
              </w:rPr>
              <w:instrText xml:space="preserve"> </w:instrText>
            </w:r>
            <w:r w:rsidRPr="00087CF3">
              <w:rPr>
                <w:rFonts w:hint="eastAsia"/>
                <w:sz w:val="24"/>
                <w:szCs w:val="24"/>
              </w:rPr>
              <w:instrText xml:space="preserve">SEQ </w:instrText>
            </w:r>
            <w:r w:rsidRPr="00087CF3">
              <w:rPr>
                <w:rFonts w:hint="eastAsia"/>
                <w:sz w:val="24"/>
                <w:szCs w:val="24"/>
              </w:rPr>
              <w:instrText>圖</w:instrText>
            </w:r>
            <w:r w:rsidRPr="00087CF3">
              <w:rPr>
                <w:rFonts w:hint="eastAsia"/>
                <w:sz w:val="24"/>
                <w:szCs w:val="24"/>
              </w:rPr>
              <w:instrText xml:space="preserve"> \* ARABIC</w:instrText>
            </w:r>
            <w:r w:rsidRPr="00087CF3">
              <w:rPr>
                <w:sz w:val="24"/>
                <w:szCs w:val="24"/>
              </w:rPr>
              <w:instrText xml:space="preserve"> </w:instrText>
            </w:r>
            <w:r w:rsidRPr="00087CF3">
              <w:rPr>
                <w:sz w:val="24"/>
                <w:szCs w:val="24"/>
              </w:rPr>
              <w:fldChar w:fldCharType="separate"/>
            </w:r>
            <w:r>
              <w:rPr>
                <w:noProof/>
                <w:sz w:val="24"/>
                <w:szCs w:val="24"/>
              </w:rPr>
              <w:t>2</w:t>
            </w:r>
            <w:r w:rsidRPr="00087CF3">
              <w:rPr>
                <w:sz w:val="24"/>
                <w:szCs w:val="24"/>
              </w:rPr>
              <w:fldChar w:fldCharType="end"/>
            </w:r>
            <w:bookmarkEnd w:id="1"/>
            <w:r w:rsidRPr="00087CF3">
              <w:rPr>
                <w:rFonts w:hint="eastAsia"/>
                <w:sz w:val="24"/>
                <w:szCs w:val="24"/>
              </w:rPr>
              <w:t>:</w:t>
            </w:r>
            <w:r w:rsidRPr="00087CF3">
              <w:rPr>
                <w:rFonts w:hint="eastAsia"/>
                <w:sz w:val="24"/>
                <w:szCs w:val="24"/>
              </w:rPr>
              <w:t>歷年總發電量曲線圖</w:t>
            </w:r>
          </w:p>
        </w:tc>
      </w:tr>
    </w:tbl>
    <w:p w14:paraId="45E98336" w14:textId="69D7AB7E" w:rsidR="00AF2A6E" w:rsidRDefault="00087CF3" w:rsidP="00AF2A6E">
      <w:pPr>
        <w:ind w:firstLine="480"/>
      </w:pPr>
      <w:r>
        <w:rPr>
          <w:rFonts w:hint="eastAsia"/>
        </w:rPr>
        <w:t>透過</w:t>
      </w:r>
      <w:r>
        <w:fldChar w:fldCharType="begin"/>
      </w:r>
      <w:r>
        <w:instrText xml:space="preserve"> </w:instrText>
      </w:r>
      <w:r>
        <w:rPr>
          <w:rFonts w:hint="eastAsia"/>
        </w:rPr>
        <w:instrText>REF _Ref132043400 \h</w:instrText>
      </w:r>
      <w:r>
        <w:instrText xml:space="preserve"> </w:instrText>
      </w:r>
      <w:r>
        <w:fldChar w:fldCharType="separate"/>
      </w:r>
      <w:r w:rsidRPr="0021335B">
        <w:rPr>
          <w:rFonts w:hint="eastAsia"/>
          <w:szCs w:val="24"/>
        </w:rPr>
        <w:t>圖</w:t>
      </w:r>
      <w:r>
        <w:rPr>
          <w:noProof/>
          <w:szCs w:val="24"/>
        </w:rPr>
        <w:t>1</w:t>
      </w:r>
      <w:r>
        <w:fldChar w:fldCharType="end"/>
      </w:r>
      <w:r>
        <w:rPr>
          <w:rFonts w:hint="eastAsia"/>
        </w:rPr>
        <w:t>的統計總發電量如</w:t>
      </w:r>
      <w:r>
        <w:fldChar w:fldCharType="begin"/>
      </w:r>
      <w:r>
        <w:instrText xml:space="preserve"> REF _Ref132044436 \h </w:instrText>
      </w:r>
      <w:r>
        <w:fldChar w:fldCharType="separate"/>
      </w:r>
      <w:r w:rsidRPr="00087CF3">
        <w:rPr>
          <w:rFonts w:hint="eastAsia"/>
          <w:szCs w:val="24"/>
        </w:rPr>
        <w:t>圖</w:t>
      </w:r>
      <w:r>
        <w:rPr>
          <w:noProof/>
          <w:szCs w:val="24"/>
        </w:rPr>
        <w:t>2</w:t>
      </w:r>
      <w:r>
        <w:fldChar w:fldCharType="end"/>
      </w:r>
      <w:r>
        <w:rPr>
          <w:rFonts w:hint="eastAsia"/>
        </w:rPr>
        <w:t>可得知台灣在</w:t>
      </w:r>
      <w:r>
        <w:rPr>
          <w:rFonts w:hint="eastAsia"/>
        </w:rPr>
        <w:t>2015</w:t>
      </w:r>
      <w:r>
        <w:rPr>
          <w:rFonts w:hint="eastAsia"/>
        </w:rPr>
        <w:t>年時發電量是下降的，再</w:t>
      </w:r>
      <w:r w:rsidR="00AC5928">
        <w:rPr>
          <w:rFonts w:hint="eastAsia"/>
        </w:rPr>
        <w:t>透過</w:t>
      </w:r>
      <w:r w:rsidR="00AC5928">
        <w:fldChar w:fldCharType="begin"/>
      </w:r>
      <w:r w:rsidR="00AC5928">
        <w:instrText xml:space="preserve"> </w:instrText>
      </w:r>
      <w:r w:rsidR="00AC5928">
        <w:rPr>
          <w:rFonts w:hint="eastAsia"/>
        </w:rPr>
        <w:instrText>REF _Ref132043400 \h</w:instrText>
      </w:r>
      <w:r w:rsidR="00AC5928">
        <w:instrText xml:space="preserve"> </w:instrText>
      </w:r>
      <w:r w:rsidR="00AC5928">
        <w:fldChar w:fldCharType="separate"/>
      </w:r>
      <w:r w:rsidR="00AC5928">
        <w:rPr>
          <w:rFonts w:hint="eastAsia"/>
        </w:rPr>
        <w:t>圖</w:t>
      </w:r>
      <w:r w:rsidR="00AC5928">
        <w:rPr>
          <w:noProof/>
        </w:rPr>
        <w:t>1</w:t>
      </w:r>
      <w:r w:rsidR="00AC5928">
        <w:fldChar w:fldCharType="end"/>
      </w:r>
      <w:r w:rsidR="00AC5928">
        <w:rPr>
          <w:rFonts w:hint="eastAsia"/>
        </w:rPr>
        <w:t>套入公式計算出</w:t>
      </w:r>
      <w:r w:rsidR="0021335B">
        <w:fldChar w:fldCharType="begin"/>
      </w:r>
      <w:r w:rsidR="0021335B">
        <w:instrText xml:space="preserve"> </w:instrText>
      </w:r>
      <w:r w:rsidR="0021335B">
        <w:rPr>
          <w:rFonts w:hint="eastAsia"/>
        </w:rPr>
        <w:instrText>REF _Ref132043737 \h</w:instrText>
      </w:r>
      <w:r w:rsidR="0021335B">
        <w:instrText xml:space="preserve"> </w:instrText>
      </w:r>
      <w:r w:rsidR="0021335B">
        <w:fldChar w:fldCharType="separate"/>
      </w:r>
      <w:r w:rsidRPr="0021335B">
        <w:rPr>
          <w:rFonts w:hint="eastAsia"/>
          <w:szCs w:val="24"/>
        </w:rPr>
        <w:t>圖</w:t>
      </w:r>
      <w:r>
        <w:rPr>
          <w:noProof/>
          <w:szCs w:val="24"/>
        </w:rPr>
        <w:t>3</w:t>
      </w:r>
      <w:r w:rsidR="0021335B">
        <w:fldChar w:fldCharType="end"/>
      </w:r>
      <w:r w:rsidR="0021335B">
        <w:rPr>
          <w:rFonts w:hint="eastAsia"/>
        </w:rPr>
        <w:t>可以得知火力發電還是台灣主要發電源</w:t>
      </w:r>
      <w:r>
        <w:rPr>
          <w:rFonts w:hint="eastAsia"/>
        </w:rPr>
        <w:t>，並且可以發現在</w:t>
      </w:r>
      <w:r>
        <w:rPr>
          <w:rFonts w:hint="eastAsia"/>
        </w:rPr>
        <w:t>2015</w:t>
      </w:r>
      <w:r>
        <w:rPr>
          <w:rFonts w:hint="eastAsia"/>
        </w:rPr>
        <w:t>年是因為</w:t>
      </w:r>
      <w:r w:rsidR="00676B65">
        <w:rPr>
          <w:rFonts w:hint="eastAsia"/>
        </w:rPr>
        <w:t>核能發電的緣故導致發電量降低</w:t>
      </w:r>
      <w:r w:rsidR="0021335B">
        <w:rPr>
          <w:rFonts w:hint="eastAsia"/>
        </w:rPr>
        <w:t>。</w:t>
      </w:r>
      <w:r w:rsidR="00676B65">
        <w:rPr>
          <w:rFonts w:hint="eastAsia"/>
        </w:rPr>
        <w:t>而</w:t>
      </w:r>
      <w:r w:rsidR="00676B65">
        <w:rPr>
          <w:rFonts w:hint="eastAsia"/>
        </w:rPr>
        <w:t>2016</w:t>
      </w:r>
      <w:r w:rsidR="00676B65">
        <w:rPr>
          <w:rFonts w:hint="eastAsia"/>
        </w:rPr>
        <w:t>又大幅回升，</w:t>
      </w:r>
      <w:r w:rsidR="005D062E" w:rsidRPr="005D062E">
        <w:rPr>
          <w:rFonts w:hint="eastAsia"/>
        </w:rPr>
        <w:t>其中水力發電量有所增加，核能發電量也有所回升，這些都對</w:t>
      </w:r>
      <w:r w:rsidR="005D062E" w:rsidRPr="005D062E">
        <w:rPr>
          <w:rFonts w:hint="eastAsia"/>
        </w:rPr>
        <w:t>2016</w:t>
      </w:r>
      <w:r w:rsidR="005D062E" w:rsidRPr="005D062E">
        <w:rPr>
          <w:rFonts w:hint="eastAsia"/>
        </w:rPr>
        <w:t>年的總發電量增加起到了一定的作用。再生能源發電量也有所增加，這也是</w:t>
      </w:r>
      <w:r w:rsidR="005D062E" w:rsidRPr="005D062E">
        <w:rPr>
          <w:rFonts w:hint="eastAsia"/>
        </w:rPr>
        <w:t>2016</w:t>
      </w:r>
      <w:r w:rsidR="005D062E" w:rsidRPr="005D062E">
        <w:rPr>
          <w:rFonts w:hint="eastAsia"/>
        </w:rPr>
        <w:t>年總發電量增加的原因之一。</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C5928" w14:paraId="0F36DDD8" w14:textId="77777777" w:rsidTr="0021335B">
        <w:tc>
          <w:tcPr>
            <w:tcW w:w="8306" w:type="dxa"/>
          </w:tcPr>
          <w:p w14:paraId="595E3C29" w14:textId="16B461E8" w:rsidR="00AC5928" w:rsidRDefault="00AC5928" w:rsidP="00AF2A6E">
            <w:pPr>
              <w:ind w:firstLineChars="0" w:firstLine="0"/>
            </w:pPr>
            <w:r w:rsidRPr="00AC5928">
              <w:rPr>
                <w:rFonts w:hint="eastAsia"/>
                <w:noProof/>
              </w:rPr>
              <w:drawing>
                <wp:inline distT="0" distB="0" distL="0" distR="0" wp14:anchorId="211CB5F5" wp14:editId="78119B9E">
                  <wp:extent cx="5157216" cy="847725"/>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884" cy="848657"/>
                          </a:xfrm>
                          <a:prstGeom prst="rect">
                            <a:avLst/>
                          </a:prstGeom>
                          <a:noFill/>
                          <a:ln>
                            <a:noFill/>
                          </a:ln>
                        </pic:spPr>
                      </pic:pic>
                    </a:graphicData>
                  </a:graphic>
                </wp:inline>
              </w:drawing>
            </w:r>
          </w:p>
        </w:tc>
      </w:tr>
      <w:tr w:rsidR="00AC5928" w14:paraId="01EE009B" w14:textId="77777777" w:rsidTr="0021335B">
        <w:tc>
          <w:tcPr>
            <w:tcW w:w="8306" w:type="dxa"/>
          </w:tcPr>
          <w:p w14:paraId="46E95EFE" w14:textId="2BAE4348" w:rsidR="00AC5928" w:rsidRDefault="0021335B" w:rsidP="0021335B">
            <w:pPr>
              <w:pStyle w:val="ab"/>
              <w:ind w:firstLineChars="0" w:firstLine="0"/>
              <w:jc w:val="center"/>
            </w:pPr>
            <w:bookmarkStart w:id="2" w:name="_Ref132043737"/>
            <w:r w:rsidRPr="0021335B">
              <w:rPr>
                <w:rFonts w:hint="eastAsia"/>
                <w:sz w:val="24"/>
                <w:szCs w:val="24"/>
              </w:rPr>
              <w:t>圖</w:t>
            </w:r>
            <w:r w:rsidRPr="0021335B">
              <w:rPr>
                <w:sz w:val="24"/>
                <w:szCs w:val="24"/>
              </w:rPr>
              <w:fldChar w:fldCharType="begin"/>
            </w:r>
            <w:r w:rsidRPr="0021335B">
              <w:rPr>
                <w:sz w:val="24"/>
                <w:szCs w:val="24"/>
              </w:rPr>
              <w:instrText xml:space="preserve"> </w:instrText>
            </w:r>
            <w:r w:rsidRPr="0021335B">
              <w:rPr>
                <w:rFonts w:hint="eastAsia"/>
                <w:sz w:val="24"/>
                <w:szCs w:val="24"/>
              </w:rPr>
              <w:instrText xml:space="preserve">SEQ </w:instrText>
            </w:r>
            <w:r w:rsidRPr="0021335B">
              <w:rPr>
                <w:rFonts w:hint="eastAsia"/>
                <w:sz w:val="24"/>
                <w:szCs w:val="24"/>
              </w:rPr>
              <w:instrText>圖</w:instrText>
            </w:r>
            <w:r w:rsidRPr="0021335B">
              <w:rPr>
                <w:rFonts w:hint="eastAsia"/>
                <w:sz w:val="24"/>
                <w:szCs w:val="24"/>
              </w:rPr>
              <w:instrText xml:space="preserve"> \* ARABIC</w:instrText>
            </w:r>
            <w:r w:rsidRPr="0021335B">
              <w:rPr>
                <w:sz w:val="24"/>
                <w:szCs w:val="24"/>
              </w:rPr>
              <w:instrText xml:space="preserve"> </w:instrText>
            </w:r>
            <w:r w:rsidRPr="0021335B">
              <w:rPr>
                <w:sz w:val="24"/>
                <w:szCs w:val="24"/>
              </w:rPr>
              <w:fldChar w:fldCharType="separate"/>
            </w:r>
            <w:r w:rsidR="00087CF3">
              <w:rPr>
                <w:noProof/>
                <w:sz w:val="24"/>
                <w:szCs w:val="24"/>
              </w:rPr>
              <w:t>3</w:t>
            </w:r>
            <w:r w:rsidRPr="0021335B">
              <w:rPr>
                <w:sz w:val="24"/>
                <w:szCs w:val="24"/>
              </w:rPr>
              <w:fldChar w:fldCharType="end"/>
            </w:r>
            <w:bookmarkEnd w:id="2"/>
            <w:r w:rsidRPr="0021335B">
              <w:rPr>
                <w:rFonts w:hint="eastAsia"/>
                <w:sz w:val="24"/>
                <w:szCs w:val="24"/>
              </w:rPr>
              <w:t>:</w:t>
            </w:r>
            <w:r w:rsidRPr="0021335B">
              <w:rPr>
                <w:rFonts w:hint="eastAsia"/>
                <w:sz w:val="24"/>
                <w:szCs w:val="24"/>
              </w:rPr>
              <w:t>各發電方式佔比</w:t>
            </w:r>
          </w:p>
        </w:tc>
      </w:tr>
      <w:tr w:rsidR="0021335B" w14:paraId="45AB2A9D" w14:textId="77777777" w:rsidTr="0021335B">
        <w:tblPrEx>
          <w:tblCellMar>
            <w:left w:w="28" w:type="dxa"/>
            <w:right w:w="28" w:type="dxa"/>
          </w:tblCellMar>
        </w:tblPrEx>
        <w:tc>
          <w:tcPr>
            <w:tcW w:w="8306" w:type="dxa"/>
            <w:vAlign w:val="center"/>
          </w:tcPr>
          <w:p w14:paraId="535D8459" w14:textId="7DC8B3F5" w:rsidR="0021335B" w:rsidRPr="0021335B" w:rsidRDefault="00087CF3" w:rsidP="0021335B">
            <w:pPr>
              <w:ind w:firstLineChars="0" w:firstLine="0"/>
              <w:jc w:val="center"/>
            </w:pPr>
            <w:r>
              <w:rPr>
                <w:noProof/>
              </w:rPr>
              <w:drawing>
                <wp:inline distT="0" distB="0" distL="0" distR="0" wp14:anchorId="17ACB36B" wp14:editId="52894BB5">
                  <wp:extent cx="3744686" cy="2198914"/>
                  <wp:effectExtent l="0" t="0" r="8255" b="11430"/>
                  <wp:docPr id="8" name="圖表 8">
                    <a:extLst xmlns:a="http://schemas.openxmlformats.org/drawingml/2006/main">
                      <a:ext uri="{FF2B5EF4-FFF2-40B4-BE49-F238E27FC236}">
                        <a16:creationId xmlns:a16="http://schemas.microsoft.com/office/drawing/2014/main" id="{9256FE7E-9E5F-17D0-0888-BF97E6F00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1335B" w14:paraId="0E5D4098" w14:textId="77777777" w:rsidTr="0021335B">
        <w:tblPrEx>
          <w:tblCellMar>
            <w:left w:w="28" w:type="dxa"/>
            <w:right w:w="28" w:type="dxa"/>
          </w:tblCellMar>
        </w:tblPrEx>
        <w:tc>
          <w:tcPr>
            <w:tcW w:w="8306" w:type="dxa"/>
            <w:vAlign w:val="center"/>
          </w:tcPr>
          <w:p w14:paraId="2080F5AA" w14:textId="238451D5" w:rsidR="0021335B" w:rsidRPr="00087CF3" w:rsidRDefault="00087CF3" w:rsidP="00087CF3">
            <w:pPr>
              <w:pStyle w:val="ab"/>
              <w:ind w:firstLineChars="0" w:firstLine="0"/>
              <w:jc w:val="center"/>
            </w:pPr>
            <w:bookmarkStart w:id="3" w:name="_Ref132044400"/>
            <w:r w:rsidRPr="00087CF3">
              <w:rPr>
                <w:rFonts w:hint="eastAsia"/>
                <w:sz w:val="24"/>
                <w:szCs w:val="24"/>
              </w:rPr>
              <w:t>圖</w:t>
            </w:r>
            <w:r w:rsidRPr="00087CF3">
              <w:rPr>
                <w:sz w:val="24"/>
                <w:szCs w:val="24"/>
              </w:rPr>
              <w:fldChar w:fldCharType="begin"/>
            </w:r>
            <w:r w:rsidRPr="00087CF3">
              <w:rPr>
                <w:sz w:val="24"/>
                <w:szCs w:val="24"/>
              </w:rPr>
              <w:instrText xml:space="preserve"> </w:instrText>
            </w:r>
            <w:r w:rsidRPr="00087CF3">
              <w:rPr>
                <w:rFonts w:hint="eastAsia"/>
                <w:sz w:val="24"/>
                <w:szCs w:val="24"/>
              </w:rPr>
              <w:instrText xml:space="preserve">SEQ </w:instrText>
            </w:r>
            <w:r w:rsidRPr="00087CF3">
              <w:rPr>
                <w:rFonts w:hint="eastAsia"/>
                <w:sz w:val="24"/>
                <w:szCs w:val="24"/>
              </w:rPr>
              <w:instrText>圖</w:instrText>
            </w:r>
            <w:r w:rsidRPr="00087CF3">
              <w:rPr>
                <w:rFonts w:hint="eastAsia"/>
                <w:sz w:val="24"/>
                <w:szCs w:val="24"/>
              </w:rPr>
              <w:instrText xml:space="preserve"> \* ARABIC</w:instrText>
            </w:r>
            <w:r w:rsidRPr="00087CF3">
              <w:rPr>
                <w:sz w:val="24"/>
                <w:szCs w:val="24"/>
              </w:rPr>
              <w:instrText xml:space="preserve"> </w:instrText>
            </w:r>
            <w:r w:rsidRPr="00087CF3">
              <w:rPr>
                <w:sz w:val="24"/>
                <w:szCs w:val="24"/>
              </w:rPr>
              <w:fldChar w:fldCharType="separate"/>
            </w:r>
            <w:r w:rsidRPr="00087CF3">
              <w:rPr>
                <w:noProof/>
                <w:sz w:val="24"/>
                <w:szCs w:val="24"/>
              </w:rPr>
              <w:t>4</w:t>
            </w:r>
            <w:r w:rsidRPr="00087CF3">
              <w:rPr>
                <w:sz w:val="24"/>
                <w:szCs w:val="24"/>
              </w:rPr>
              <w:fldChar w:fldCharType="end"/>
            </w:r>
            <w:bookmarkEnd w:id="3"/>
            <w:r w:rsidRPr="00087CF3">
              <w:rPr>
                <w:rFonts w:hint="eastAsia"/>
                <w:sz w:val="24"/>
                <w:szCs w:val="24"/>
              </w:rPr>
              <w:t>:</w:t>
            </w:r>
            <w:r w:rsidRPr="00087CF3">
              <w:rPr>
                <w:rFonts w:hint="eastAsia"/>
                <w:sz w:val="24"/>
                <w:szCs w:val="24"/>
              </w:rPr>
              <w:t>各發電方式佔比長條圖</w:t>
            </w:r>
          </w:p>
        </w:tc>
      </w:tr>
    </w:tbl>
    <w:p w14:paraId="0BB3B044" w14:textId="0088F8BA" w:rsidR="0021335B" w:rsidRDefault="0021335B" w:rsidP="0021335B">
      <w:pPr>
        <w:ind w:firstLine="480"/>
      </w:pPr>
      <w:r w:rsidRPr="0021335B">
        <w:rPr>
          <w:rFonts w:hint="eastAsia"/>
        </w:rPr>
        <w:t>透過</w:t>
      </w:r>
      <w:r w:rsidR="00087CF3">
        <w:fldChar w:fldCharType="begin"/>
      </w:r>
      <w:r w:rsidR="00087CF3">
        <w:instrText xml:space="preserve"> </w:instrText>
      </w:r>
      <w:r w:rsidR="00087CF3">
        <w:rPr>
          <w:rFonts w:hint="eastAsia"/>
        </w:rPr>
        <w:instrText>REF _Ref132044400 \h</w:instrText>
      </w:r>
      <w:r w:rsidR="00087CF3">
        <w:instrText xml:space="preserve"> </w:instrText>
      </w:r>
      <w:r w:rsidR="00087CF3">
        <w:fldChar w:fldCharType="separate"/>
      </w:r>
      <w:r w:rsidR="00087CF3" w:rsidRPr="00087CF3">
        <w:rPr>
          <w:rFonts w:hint="eastAsia"/>
          <w:szCs w:val="24"/>
        </w:rPr>
        <w:t>圖</w:t>
      </w:r>
      <w:r w:rsidR="00087CF3" w:rsidRPr="00087CF3">
        <w:rPr>
          <w:noProof/>
          <w:szCs w:val="24"/>
        </w:rPr>
        <w:t>4</w:t>
      </w:r>
      <w:r w:rsidR="00087CF3">
        <w:fldChar w:fldCharType="end"/>
      </w:r>
      <w:r w:rsidRPr="0021335B">
        <w:rPr>
          <w:rFonts w:hint="eastAsia"/>
        </w:rPr>
        <w:t>這個表格，可以了解台灣不同年份的電力來源組成比例，進一步了解台灣能源結構的情況。也可以比較不同年份的數據，觀察台灣在能源使用方面</w:t>
      </w:r>
      <w:r w:rsidRPr="0021335B">
        <w:rPr>
          <w:rFonts w:hint="eastAsia"/>
        </w:rPr>
        <w:lastRenderedPageBreak/>
        <w:t>的趨勢</w:t>
      </w:r>
      <w:r w:rsidR="00676B65">
        <w:rPr>
          <w:rFonts w:hint="eastAsia"/>
        </w:rPr>
        <w:t>，相對的也可以將這個公式算法應用到其他國家計算</w:t>
      </w:r>
      <w:r w:rsidRPr="0021335B">
        <w:rPr>
          <w:rFonts w:hint="eastAsia"/>
        </w:rPr>
        <w:t>。此外，這些數據也可以為能源政策的設計提供參考，例如針對再生能源的發展制定相關措施，以改善台灣的能源結構。</w:t>
      </w:r>
    </w:p>
    <w:p w14:paraId="2963A2E1" w14:textId="18D3AD7F" w:rsidR="0039390A" w:rsidRDefault="0039390A" w:rsidP="0021335B">
      <w:pPr>
        <w:pStyle w:val="a3"/>
        <w:numPr>
          <w:ilvl w:val="0"/>
          <w:numId w:val="7"/>
        </w:numPr>
        <w:ind w:leftChars="0" w:firstLineChars="0"/>
        <w:rPr>
          <w:sz w:val="32"/>
          <w:szCs w:val="28"/>
        </w:rPr>
      </w:pPr>
      <w:r w:rsidRPr="0021335B">
        <w:rPr>
          <w:rFonts w:hint="eastAsia"/>
          <w:sz w:val="32"/>
          <w:szCs w:val="28"/>
        </w:rPr>
        <w:t>結論</w:t>
      </w:r>
    </w:p>
    <w:p w14:paraId="5CAE9AE2" w14:textId="48A64E4B" w:rsidR="003352DE" w:rsidRPr="003352DE" w:rsidRDefault="003352DE" w:rsidP="003352DE">
      <w:pPr>
        <w:ind w:firstLine="480"/>
      </w:pPr>
      <w:r w:rsidRPr="003352DE">
        <w:rPr>
          <w:rFonts w:hint="eastAsia"/>
        </w:rPr>
        <w:t>我們期望透過觀察歷年來各發電種類的總佔比來尋找出適合台灣發展且能夠盡可能地減少環境汙染以及達到能夠穩定供電的方式，透過查詢政府提供的數據來進行研究</w:t>
      </w:r>
      <w:r>
        <w:rPr>
          <w:rFonts w:hint="eastAsia"/>
        </w:rPr>
        <w:t>。</w:t>
      </w:r>
    </w:p>
    <w:p w14:paraId="0F9DC73D" w14:textId="493F1F6B" w:rsidR="00F47121" w:rsidRDefault="00F47121" w:rsidP="0039390A">
      <w:pPr>
        <w:pStyle w:val="a3"/>
        <w:numPr>
          <w:ilvl w:val="0"/>
          <w:numId w:val="7"/>
        </w:numPr>
        <w:ind w:leftChars="0" w:firstLineChars="0"/>
        <w:rPr>
          <w:sz w:val="32"/>
          <w:szCs w:val="28"/>
        </w:rPr>
      </w:pPr>
      <w:r>
        <w:rPr>
          <w:rFonts w:hint="eastAsia"/>
          <w:sz w:val="32"/>
          <w:szCs w:val="28"/>
        </w:rPr>
        <w:t>參考文獻</w:t>
      </w:r>
    </w:p>
    <w:p w14:paraId="19694A3C" w14:textId="0E5E48E7" w:rsidR="005950AF" w:rsidRPr="0039390A" w:rsidRDefault="005950AF" w:rsidP="005950AF">
      <w:pPr>
        <w:pStyle w:val="a3"/>
        <w:numPr>
          <w:ilvl w:val="0"/>
          <w:numId w:val="8"/>
        </w:numPr>
        <w:ind w:leftChars="0" w:firstLineChars="0"/>
        <w:jc w:val="left"/>
      </w:pPr>
      <w:bookmarkStart w:id="4" w:name="_Ref132037175"/>
      <w:r>
        <w:rPr>
          <w:rFonts w:hint="eastAsia"/>
        </w:rPr>
        <w:t>台灣發電量統計查詢</w:t>
      </w:r>
      <w:r>
        <w:rPr>
          <w:rFonts w:hint="eastAsia"/>
        </w:rPr>
        <w:t>:</w:t>
      </w:r>
      <w:hyperlink r:id="rId12" w:history="1">
        <w:r w:rsidRPr="005950AF">
          <w:rPr>
            <w:rStyle w:val="a8"/>
          </w:rPr>
          <w:t>https://www.esist.org.tw/Database/Search?PageId=3</w:t>
        </w:r>
      </w:hyperlink>
      <w:bookmarkEnd w:id="4"/>
    </w:p>
    <w:sectPr w:rsidR="005950AF" w:rsidRPr="0039390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D1A9" w14:textId="77777777" w:rsidR="006C7F7D" w:rsidRDefault="006C7F7D" w:rsidP="00F47121">
      <w:pPr>
        <w:ind w:firstLine="480"/>
      </w:pPr>
      <w:r>
        <w:separator/>
      </w:r>
    </w:p>
  </w:endnote>
  <w:endnote w:type="continuationSeparator" w:id="0">
    <w:p w14:paraId="01C2C863" w14:textId="77777777" w:rsidR="006C7F7D" w:rsidRDefault="006C7F7D" w:rsidP="00F4712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1BCE" w14:textId="77777777" w:rsidR="00F47121" w:rsidRDefault="00F47121">
    <w:pPr>
      <w:pStyle w:val="a6"/>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7262" w14:textId="77777777" w:rsidR="00F47121" w:rsidRDefault="00F47121">
    <w:pPr>
      <w:pStyle w:val="a6"/>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6F9E" w14:textId="77777777" w:rsidR="00F47121" w:rsidRDefault="00F47121">
    <w:pPr>
      <w:pStyle w:val="a6"/>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7704" w14:textId="77777777" w:rsidR="006C7F7D" w:rsidRDefault="006C7F7D" w:rsidP="00F47121">
      <w:pPr>
        <w:ind w:firstLine="480"/>
      </w:pPr>
      <w:r>
        <w:separator/>
      </w:r>
    </w:p>
  </w:footnote>
  <w:footnote w:type="continuationSeparator" w:id="0">
    <w:p w14:paraId="3DD1B3BC" w14:textId="77777777" w:rsidR="006C7F7D" w:rsidRDefault="006C7F7D" w:rsidP="00F4712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73E5" w14:textId="77777777" w:rsidR="00F47121" w:rsidRDefault="00F47121">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FF21" w14:textId="77777777" w:rsidR="00F47121" w:rsidRDefault="00F47121">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09FA" w14:textId="77777777" w:rsidR="00F47121" w:rsidRDefault="00F47121">
    <w:pPr>
      <w:pStyle w:val="a4"/>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04B3"/>
    <w:multiLevelType w:val="hybridMultilevel"/>
    <w:tmpl w:val="3C96BD0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2C7286"/>
    <w:multiLevelType w:val="hybridMultilevel"/>
    <w:tmpl w:val="BADC230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0F6E7A"/>
    <w:multiLevelType w:val="multilevel"/>
    <w:tmpl w:val="16AAC880"/>
    <w:lvl w:ilvl="0">
      <w:start w:val="1"/>
      <w:numFmt w:val="taiwa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3308A9"/>
    <w:multiLevelType w:val="hybridMultilevel"/>
    <w:tmpl w:val="F31C2D56"/>
    <w:lvl w:ilvl="0" w:tplc="04090015">
      <w:start w:val="1"/>
      <w:numFmt w:val="taiwaneseCountingThousand"/>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 w15:restartNumberingAfterBreak="0">
    <w:nsid w:val="28322DD2"/>
    <w:multiLevelType w:val="hybridMultilevel"/>
    <w:tmpl w:val="0296A4C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AD23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272881"/>
    <w:multiLevelType w:val="hybridMultilevel"/>
    <w:tmpl w:val="3A48311E"/>
    <w:lvl w:ilvl="0" w:tplc="80EC707A">
      <w:start w:val="1"/>
      <w:numFmt w:val="decimal"/>
      <w:lvlText w:val="[%1]"/>
      <w:lvlJc w:val="left"/>
      <w:pPr>
        <w:ind w:left="960" w:hanging="480"/>
      </w:pPr>
      <w:rPr>
        <w:rFonts w:hint="eastAsia"/>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523344A"/>
    <w:multiLevelType w:val="multilevel"/>
    <w:tmpl w:val="16AAC880"/>
    <w:lvl w:ilvl="0">
      <w:start w:val="1"/>
      <w:numFmt w:val="taiwa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78557260">
    <w:abstractNumId w:val="5"/>
  </w:num>
  <w:num w:numId="2" w16cid:durableId="658265904">
    <w:abstractNumId w:val="7"/>
  </w:num>
  <w:num w:numId="3" w16cid:durableId="1991522451">
    <w:abstractNumId w:val="2"/>
  </w:num>
  <w:num w:numId="4" w16cid:durableId="243101907">
    <w:abstractNumId w:val="3"/>
  </w:num>
  <w:num w:numId="5" w16cid:durableId="962619279">
    <w:abstractNumId w:val="4"/>
  </w:num>
  <w:num w:numId="6" w16cid:durableId="1029380728">
    <w:abstractNumId w:val="1"/>
  </w:num>
  <w:num w:numId="7" w16cid:durableId="143858369">
    <w:abstractNumId w:val="0"/>
  </w:num>
  <w:num w:numId="8" w16cid:durableId="1588615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sDA2N7EwNzIxMDFV0lEKTi0uzszPAykwrAUAiqcY3CwAAAA="/>
  </w:docVars>
  <w:rsids>
    <w:rsidRoot w:val="0039390A"/>
    <w:rsid w:val="00051C67"/>
    <w:rsid w:val="00083333"/>
    <w:rsid w:val="00087CF3"/>
    <w:rsid w:val="000A19AB"/>
    <w:rsid w:val="00130C9C"/>
    <w:rsid w:val="00160390"/>
    <w:rsid w:val="001E2F24"/>
    <w:rsid w:val="001F2D19"/>
    <w:rsid w:val="0021335B"/>
    <w:rsid w:val="003352DE"/>
    <w:rsid w:val="0039390A"/>
    <w:rsid w:val="003A1F7A"/>
    <w:rsid w:val="003B13E7"/>
    <w:rsid w:val="004D32D6"/>
    <w:rsid w:val="00511498"/>
    <w:rsid w:val="00552AFE"/>
    <w:rsid w:val="005950AF"/>
    <w:rsid w:val="005D062E"/>
    <w:rsid w:val="005F6615"/>
    <w:rsid w:val="00651398"/>
    <w:rsid w:val="00676B65"/>
    <w:rsid w:val="006C7F7D"/>
    <w:rsid w:val="00830AE9"/>
    <w:rsid w:val="008E1370"/>
    <w:rsid w:val="00913C39"/>
    <w:rsid w:val="0099583E"/>
    <w:rsid w:val="00A52195"/>
    <w:rsid w:val="00A701F9"/>
    <w:rsid w:val="00AC5928"/>
    <w:rsid w:val="00AF2A6E"/>
    <w:rsid w:val="00E931F7"/>
    <w:rsid w:val="00F47121"/>
    <w:rsid w:val="00FC1C85"/>
    <w:rsid w:val="00FE34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5BA04"/>
  <w15:chartTrackingRefBased/>
  <w15:docId w15:val="{B8D073F5-3DDC-460A-90EE-581CB7C1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90A"/>
    <w:pPr>
      <w:widowControl w:val="0"/>
      <w:ind w:firstLineChars="200" w:firstLine="200"/>
      <w:jc w:val="both"/>
    </w:pPr>
    <w:rPr>
      <w:rFonts w:eastAsia="標楷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90A"/>
    <w:pPr>
      <w:ind w:leftChars="200" w:left="480"/>
    </w:pPr>
  </w:style>
  <w:style w:type="paragraph" w:customStyle="1" w:styleId="1">
    <w:name w:val="樣式1"/>
    <w:basedOn w:val="a"/>
    <w:qFormat/>
    <w:rsid w:val="0039390A"/>
  </w:style>
  <w:style w:type="paragraph" w:styleId="a4">
    <w:name w:val="header"/>
    <w:basedOn w:val="a"/>
    <w:link w:val="a5"/>
    <w:uiPriority w:val="99"/>
    <w:unhideWhenUsed/>
    <w:rsid w:val="00F47121"/>
    <w:pPr>
      <w:tabs>
        <w:tab w:val="center" w:pos="4153"/>
        <w:tab w:val="right" w:pos="8306"/>
      </w:tabs>
      <w:snapToGrid w:val="0"/>
    </w:pPr>
    <w:rPr>
      <w:sz w:val="20"/>
      <w:szCs w:val="20"/>
    </w:rPr>
  </w:style>
  <w:style w:type="character" w:customStyle="1" w:styleId="a5">
    <w:name w:val="頁首 字元"/>
    <w:basedOn w:val="a0"/>
    <w:link w:val="a4"/>
    <w:uiPriority w:val="99"/>
    <w:rsid w:val="00F47121"/>
    <w:rPr>
      <w:rFonts w:eastAsia="標楷體"/>
      <w:sz w:val="20"/>
      <w:szCs w:val="20"/>
    </w:rPr>
  </w:style>
  <w:style w:type="paragraph" w:styleId="a6">
    <w:name w:val="footer"/>
    <w:basedOn w:val="a"/>
    <w:link w:val="a7"/>
    <w:uiPriority w:val="99"/>
    <w:unhideWhenUsed/>
    <w:rsid w:val="00F47121"/>
    <w:pPr>
      <w:tabs>
        <w:tab w:val="center" w:pos="4153"/>
        <w:tab w:val="right" w:pos="8306"/>
      </w:tabs>
      <w:snapToGrid w:val="0"/>
    </w:pPr>
    <w:rPr>
      <w:sz w:val="20"/>
      <w:szCs w:val="20"/>
    </w:rPr>
  </w:style>
  <w:style w:type="character" w:customStyle="1" w:styleId="a7">
    <w:name w:val="頁尾 字元"/>
    <w:basedOn w:val="a0"/>
    <w:link w:val="a6"/>
    <w:uiPriority w:val="99"/>
    <w:rsid w:val="00F47121"/>
    <w:rPr>
      <w:rFonts w:eastAsia="標楷體"/>
      <w:sz w:val="20"/>
      <w:szCs w:val="20"/>
    </w:rPr>
  </w:style>
  <w:style w:type="character" w:styleId="a8">
    <w:name w:val="Hyperlink"/>
    <w:basedOn w:val="a0"/>
    <w:uiPriority w:val="99"/>
    <w:unhideWhenUsed/>
    <w:rsid w:val="005950AF"/>
    <w:rPr>
      <w:color w:val="0563C1" w:themeColor="hyperlink"/>
      <w:u w:val="single"/>
    </w:rPr>
  </w:style>
  <w:style w:type="character" w:styleId="a9">
    <w:name w:val="Unresolved Mention"/>
    <w:basedOn w:val="a0"/>
    <w:uiPriority w:val="99"/>
    <w:semiHidden/>
    <w:unhideWhenUsed/>
    <w:rsid w:val="005950AF"/>
    <w:rPr>
      <w:color w:val="605E5C"/>
      <w:shd w:val="clear" w:color="auto" w:fill="E1DFDD"/>
    </w:rPr>
  </w:style>
  <w:style w:type="table" w:styleId="aa">
    <w:name w:val="Table Grid"/>
    <w:basedOn w:val="a1"/>
    <w:uiPriority w:val="39"/>
    <w:rsid w:val="0083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830AE9"/>
    <w:rPr>
      <w:sz w:val="20"/>
      <w:szCs w:val="20"/>
    </w:rPr>
  </w:style>
  <w:style w:type="paragraph" w:styleId="Web">
    <w:name w:val="Normal (Web)"/>
    <w:basedOn w:val="a"/>
    <w:uiPriority w:val="99"/>
    <w:semiHidden/>
    <w:unhideWhenUsed/>
    <w:rsid w:val="00087CF3"/>
    <w:pPr>
      <w:widowControl/>
      <w:spacing w:before="100" w:beforeAutospacing="1" w:after="100" w:afterAutospacing="1"/>
      <w:ind w:firstLineChars="0" w:firstLine="0"/>
      <w:jc w:val="left"/>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3647">
      <w:bodyDiv w:val="1"/>
      <w:marLeft w:val="0"/>
      <w:marRight w:val="0"/>
      <w:marTop w:val="0"/>
      <w:marBottom w:val="0"/>
      <w:divBdr>
        <w:top w:val="none" w:sz="0" w:space="0" w:color="auto"/>
        <w:left w:val="none" w:sz="0" w:space="0" w:color="auto"/>
        <w:bottom w:val="none" w:sz="0" w:space="0" w:color="auto"/>
        <w:right w:val="none" w:sz="0" w:space="0" w:color="auto"/>
      </w:divBdr>
    </w:div>
    <w:div w:id="678702675">
      <w:bodyDiv w:val="1"/>
      <w:marLeft w:val="0"/>
      <w:marRight w:val="0"/>
      <w:marTop w:val="0"/>
      <w:marBottom w:val="0"/>
      <w:divBdr>
        <w:top w:val="none" w:sz="0" w:space="0" w:color="auto"/>
        <w:left w:val="none" w:sz="0" w:space="0" w:color="auto"/>
        <w:bottom w:val="none" w:sz="0" w:space="0" w:color="auto"/>
        <w:right w:val="none" w:sz="0" w:space="0" w:color="auto"/>
      </w:divBdr>
    </w:div>
    <w:div w:id="897789499">
      <w:bodyDiv w:val="1"/>
      <w:marLeft w:val="0"/>
      <w:marRight w:val="0"/>
      <w:marTop w:val="0"/>
      <w:marBottom w:val="0"/>
      <w:divBdr>
        <w:top w:val="none" w:sz="0" w:space="0" w:color="auto"/>
        <w:left w:val="none" w:sz="0" w:space="0" w:color="auto"/>
        <w:bottom w:val="none" w:sz="0" w:space="0" w:color="auto"/>
        <w:right w:val="none" w:sz="0" w:space="0" w:color="auto"/>
      </w:divBdr>
    </w:div>
    <w:div w:id="1211918611">
      <w:bodyDiv w:val="1"/>
      <w:marLeft w:val="0"/>
      <w:marRight w:val="0"/>
      <w:marTop w:val="0"/>
      <w:marBottom w:val="0"/>
      <w:divBdr>
        <w:top w:val="none" w:sz="0" w:space="0" w:color="auto"/>
        <w:left w:val="none" w:sz="0" w:space="0" w:color="auto"/>
        <w:bottom w:val="none" w:sz="0" w:space="0" w:color="auto"/>
        <w:right w:val="none" w:sz="0" w:space="0" w:color="auto"/>
      </w:divBdr>
    </w:div>
    <w:div w:id="1321233847">
      <w:bodyDiv w:val="1"/>
      <w:marLeft w:val="0"/>
      <w:marRight w:val="0"/>
      <w:marTop w:val="0"/>
      <w:marBottom w:val="0"/>
      <w:divBdr>
        <w:top w:val="none" w:sz="0" w:space="0" w:color="auto"/>
        <w:left w:val="none" w:sz="0" w:space="0" w:color="auto"/>
        <w:bottom w:val="none" w:sz="0" w:space="0" w:color="auto"/>
        <w:right w:val="none" w:sz="0" w:space="0" w:color="auto"/>
      </w:divBdr>
    </w:div>
    <w:div w:id="1352805860">
      <w:bodyDiv w:val="1"/>
      <w:marLeft w:val="0"/>
      <w:marRight w:val="0"/>
      <w:marTop w:val="0"/>
      <w:marBottom w:val="0"/>
      <w:divBdr>
        <w:top w:val="none" w:sz="0" w:space="0" w:color="auto"/>
        <w:left w:val="none" w:sz="0" w:space="0" w:color="auto"/>
        <w:bottom w:val="none" w:sz="0" w:space="0" w:color="auto"/>
        <w:right w:val="none" w:sz="0" w:space="0" w:color="auto"/>
      </w:divBdr>
    </w:div>
    <w:div w:id="1409961651">
      <w:bodyDiv w:val="1"/>
      <w:marLeft w:val="0"/>
      <w:marRight w:val="0"/>
      <w:marTop w:val="0"/>
      <w:marBottom w:val="0"/>
      <w:divBdr>
        <w:top w:val="none" w:sz="0" w:space="0" w:color="auto"/>
        <w:left w:val="none" w:sz="0" w:space="0" w:color="auto"/>
        <w:bottom w:val="none" w:sz="0" w:space="0" w:color="auto"/>
        <w:right w:val="none" w:sz="0" w:space="0" w:color="auto"/>
      </w:divBdr>
    </w:div>
    <w:div w:id="1523469475">
      <w:bodyDiv w:val="1"/>
      <w:marLeft w:val="0"/>
      <w:marRight w:val="0"/>
      <w:marTop w:val="0"/>
      <w:marBottom w:val="0"/>
      <w:divBdr>
        <w:top w:val="none" w:sz="0" w:space="0" w:color="auto"/>
        <w:left w:val="none" w:sz="0" w:space="0" w:color="auto"/>
        <w:bottom w:val="none" w:sz="0" w:space="0" w:color="auto"/>
        <w:right w:val="none" w:sz="0" w:space="0" w:color="auto"/>
      </w:divBdr>
    </w:div>
    <w:div w:id="1523933741">
      <w:bodyDiv w:val="1"/>
      <w:marLeft w:val="0"/>
      <w:marRight w:val="0"/>
      <w:marTop w:val="0"/>
      <w:marBottom w:val="0"/>
      <w:divBdr>
        <w:top w:val="none" w:sz="0" w:space="0" w:color="auto"/>
        <w:left w:val="none" w:sz="0" w:space="0" w:color="auto"/>
        <w:bottom w:val="none" w:sz="0" w:space="0" w:color="auto"/>
        <w:right w:val="none" w:sz="0" w:space="0" w:color="auto"/>
      </w:divBdr>
    </w:div>
    <w:div w:id="1529026634">
      <w:bodyDiv w:val="1"/>
      <w:marLeft w:val="0"/>
      <w:marRight w:val="0"/>
      <w:marTop w:val="0"/>
      <w:marBottom w:val="0"/>
      <w:divBdr>
        <w:top w:val="none" w:sz="0" w:space="0" w:color="auto"/>
        <w:left w:val="none" w:sz="0" w:space="0" w:color="auto"/>
        <w:bottom w:val="none" w:sz="0" w:space="0" w:color="auto"/>
        <w:right w:val="none" w:sz="0" w:space="0" w:color="auto"/>
      </w:divBdr>
    </w:div>
    <w:div w:id="1744915401">
      <w:bodyDiv w:val="1"/>
      <w:marLeft w:val="0"/>
      <w:marRight w:val="0"/>
      <w:marTop w:val="0"/>
      <w:marBottom w:val="0"/>
      <w:divBdr>
        <w:top w:val="none" w:sz="0" w:space="0" w:color="auto"/>
        <w:left w:val="none" w:sz="0" w:space="0" w:color="auto"/>
        <w:bottom w:val="none" w:sz="0" w:space="0" w:color="auto"/>
        <w:right w:val="none" w:sz="0" w:space="0" w:color="auto"/>
      </w:divBdr>
    </w:div>
    <w:div w:id="1890528007">
      <w:bodyDiv w:val="1"/>
      <w:marLeft w:val="0"/>
      <w:marRight w:val="0"/>
      <w:marTop w:val="0"/>
      <w:marBottom w:val="0"/>
      <w:divBdr>
        <w:top w:val="none" w:sz="0" w:space="0" w:color="auto"/>
        <w:left w:val="none" w:sz="0" w:space="0" w:color="auto"/>
        <w:bottom w:val="none" w:sz="0" w:space="0" w:color="auto"/>
        <w:right w:val="none" w:sz="0" w:space="0" w:color="auto"/>
      </w:divBdr>
    </w:div>
    <w:div w:id="19126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ist.org.tw/Database/Search?PageId=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unChieh\Downloads\report_123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unChieh\Downloads\report_123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歷年總發電量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總計!$B$2:$B$6</c:f>
              <c:strCache>
                <c:ptCount val="5"/>
                <c:pt idx="0">
                  <c:v>2014年</c:v>
                </c:pt>
                <c:pt idx="1">
                  <c:v>2015年</c:v>
                </c:pt>
                <c:pt idx="2">
                  <c:v>2016年</c:v>
                </c:pt>
                <c:pt idx="3">
                  <c:v>2017年</c:v>
                </c:pt>
                <c:pt idx="4">
                  <c:v>2018年</c:v>
                </c:pt>
              </c:strCache>
            </c:strRef>
          </c:cat>
          <c:val>
            <c:numRef>
              <c:f>總計!$G$2:$G$6</c:f>
              <c:numCache>
                <c:formatCode>#,##0</c:formatCode>
                <c:ptCount val="5"/>
                <c:pt idx="0">
                  <c:v>259963932742</c:v>
                </c:pt>
                <c:pt idx="1">
                  <c:v>258141909482</c:v>
                </c:pt>
                <c:pt idx="2">
                  <c:v>264107668618</c:v>
                </c:pt>
                <c:pt idx="3">
                  <c:v>270256421275</c:v>
                </c:pt>
                <c:pt idx="4">
                  <c:v>275545208778</c:v>
                </c:pt>
              </c:numCache>
            </c:numRef>
          </c:val>
          <c:smooth val="0"/>
          <c:extLst>
            <c:ext xmlns:c16="http://schemas.microsoft.com/office/drawing/2014/chart" uri="{C3380CC4-5D6E-409C-BE32-E72D297353CC}">
              <c16:uniqueId val="{00000000-E1C2-446B-905B-B3B66D19E4A6}"/>
            </c:ext>
          </c:extLst>
        </c:ser>
        <c:dLbls>
          <c:showLegendKey val="0"/>
          <c:showVal val="0"/>
          <c:showCatName val="0"/>
          <c:showSerName val="0"/>
          <c:showPercent val="0"/>
          <c:showBubbleSize val="0"/>
        </c:dLbls>
        <c:marker val="1"/>
        <c:smooth val="0"/>
        <c:axId val="400983504"/>
        <c:axId val="400996464"/>
      </c:lineChart>
      <c:catAx>
        <c:axId val="40098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0996464"/>
        <c:crosses val="autoZero"/>
        <c:auto val="1"/>
        <c:lblAlgn val="ctr"/>
        <c:lblOffset val="100"/>
        <c:noMultiLvlLbl val="0"/>
      </c:catAx>
      <c:valAx>
        <c:axId val="400996464"/>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0983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各發電方式佔比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bar"/>
        <c:grouping val="clustered"/>
        <c:varyColors val="0"/>
        <c:ser>
          <c:idx val="0"/>
          <c:order val="0"/>
          <c:tx>
            <c:strRef>
              <c:f>總計!$C$7</c:f>
              <c:strCache>
                <c:ptCount val="1"/>
                <c:pt idx="0">
                  <c:v>水力</c:v>
                </c:pt>
              </c:strCache>
            </c:strRef>
          </c:tx>
          <c:spPr>
            <a:solidFill>
              <a:srgbClr val="00B0F0"/>
            </a:solidFill>
            <a:ln>
              <a:noFill/>
            </a:ln>
            <a:effectLst/>
          </c:spPr>
          <c:invertIfNegative val="0"/>
          <c:cat>
            <c:strRef>
              <c:f>總計!$B$8:$B$12</c:f>
              <c:strCache>
                <c:ptCount val="5"/>
                <c:pt idx="0">
                  <c:v>2014年</c:v>
                </c:pt>
                <c:pt idx="1">
                  <c:v>2015年</c:v>
                </c:pt>
                <c:pt idx="2">
                  <c:v>2016年</c:v>
                </c:pt>
                <c:pt idx="3">
                  <c:v>2017年</c:v>
                </c:pt>
                <c:pt idx="4">
                  <c:v>2018年</c:v>
                </c:pt>
              </c:strCache>
            </c:strRef>
          </c:cat>
          <c:val>
            <c:numRef>
              <c:f>總計!$C$8:$C$12</c:f>
              <c:numCache>
                <c:formatCode>0%</c:formatCode>
                <c:ptCount val="5"/>
                <c:pt idx="0">
                  <c:v>1.2006165497956175E-2</c:v>
                </c:pt>
                <c:pt idx="1">
                  <c:v>1.1756927602689886E-2</c:v>
                </c:pt>
                <c:pt idx="2">
                  <c:v>1.2470917702749065E-2</c:v>
                </c:pt>
                <c:pt idx="3">
                  <c:v>1.2335236973362456E-2</c:v>
                </c:pt>
                <c:pt idx="4">
                  <c:v>1.2233106919001991E-2</c:v>
                </c:pt>
              </c:numCache>
            </c:numRef>
          </c:val>
          <c:extLst>
            <c:ext xmlns:c16="http://schemas.microsoft.com/office/drawing/2014/chart" uri="{C3380CC4-5D6E-409C-BE32-E72D297353CC}">
              <c16:uniqueId val="{00000000-FF85-45E5-8788-ED12D80626DB}"/>
            </c:ext>
          </c:extLst>
        </c:ser>
        <c:ser>
          <c:idx val="1"/>
          <c:order val="1"/>
          <c:tx>
            <c:strRef>
              <c:f>總計!$D$7</c:f>
              <c:strCache>
                <c:ptCount val="1"/>
                <c:pt idx="0">
                  <c:v>火力</c:v>
                </c:pt>
              </c:strCache>
            </c:strRef>
          </c:tx>
          <c:spPr>
            <a:solidFill>
              <a:srgbClr val="FF0000"/>
            </a:solidFill>
            <a:ln>
              <a:noFill/>
            </a:ln>
            <a:effectLst/>
          </c:spPr>
          <c:invertIfNegative val="0"/>
          <c:cat>
            <c:strRef>
              <c:f>總計!$B$8:$B$12</c:f>
              <c:strCache>
                <c:ptCount val="5"/>
                <c:pt idx="0">
                  <c:v>2014年</c:v>
                </c:pt>
                <c:pt idx="1">
                  <c:v>2015年</c:v>
                </c:pt>
                <c:pt idx="2">
                  <c:v>2016年</c:v>
                </c:pt>
                <c:pt idx="3">
                  <c:v>2017年</c:v>
                </c:pt>
                <c:pt idx="4">
                  <c:v>2018年</c:v>
                </c:pt>
              </c:strCache>
            </c:strRef>
          </c:cat>
          <c:val>
            <c:numRef>
              <c:f>總計!$D$8:$D$12</c:f>
              <c:numCache>
                <c:formatCode>0%</c:formatCode>
                <c:ptCount val="5"/>
                <c:pt idx="0">
                  <c:v>0.78676841642485174</c:v>
                </c:pt>
                <c:pt idx="1">
                  <c:v>0.80637730961122678</c:v>
                </c:pt>
                <c:pt idx="2">
                  <c:v>0.81944807732572567</c:v>
                </c:pt>
                <c:pt idx="3">
                  <c:v>0.85885759567138709</c:v>
                </c:pt>
                <c:pt idx="4">
                  <c:v>0.84139873153370826</c:v>
                </c:pt>
              </c:numCache>
            </c:numRef>
          </c:val>
          <c:extLst>
            <c:ext xmlns:c16="http://schemas.microsoft.com/office/drawing/2014/chart" uri="{C3380CC4-5D6E-409C-BE32-E72D297353CC}">
              <c16:uniqueId val="{00000001-FF85-45E5-8788-ED12D80626DB}"/>
            </c:ext>
          </c:extLst>
        </c:ser>
        <c:ser>
          <c:idx val="2"/>
          <c:order val="2"/>
          <c:tx>
            <c:strRef>
              <c:f>總計!$E$7</c:f>
              <c:strCache>
                <c:ptCount val="1"/>
                <c:pt idx="0">
                  <c:v>核能</c:v>
                </c:pt>
              </c:strCache>
            </c:strRef>
          </c:tx>
          <c:spPr>
            <a:solidFill>
              <a:schemeClr val="accent4">
                <a:lumMod val="75000"/>
              </a:schemeClr>
            </a:solidFill>
            <a:ln>
              <a:noFill/>
            </a:ln>
            <a:effectLst/>
          </c:spPr>
          <c:invertIfNegative val="0"/>
          <c:cat>
            <c:strRef>
              <c:f>總計!$B$8:$B$12</c:f>
              <c:strCache>
                <c:ptCount val="5"/>
                <c:pt idx="0">
                  <c:v>2014年</c:v>
                </c:pt>
                <c:pt idx="1">
                  <c:v>2015年</c:v>
                </c:pt>
                <c:pt idx="2">
                  <c:v>2016年</c:v>
                </c:pt>
                <c:pt idx="3">
                  <c:v>2017年</c:v>
                </c:pt>
                <c:pt idx="4">
                  <c:v>2018年</c:v>
                </c:pt>
              </c:strCache>
            </c:strRef>
          </c:cat>
          <c:val>
            <c:numRef>
              <c:f>總計!$E$8:$E$12</c:f>
              <c:numCache>
                <c:formatCode>0%</c:formatCode>
                <c:ptCount val="5"/>
                <c:pt idx="0">
                  <c:v>0.16305713855340365</c:v>
                </c:pt>
                <c:pt idx="1">
                  <c:v>0.14128322159383072</c:v>
                </c:pt>
                <c:pt idx="2">
                  <c:v>0.11988051223834154</c:v>
                </c:pt>
                <c:pt idx="3">
                  <c:v>8.3052719687871923E-2</c:v>
                </c:pt>
                <c:pt idx="4">
                  <c:v>0.10044925957068532</c:v>
                </c:pt>
              </c:numCache>
            </c:numRef>
          </c:val>
          <c:extLst>
            <c:ext xmlns:c16="http://schemas.microsoft.com/office/drawing/2014/chart" uri="{C3380CC4-5D6E-409C-BE32-E72D297353CC}">
              <c16:uniqueId val="{00000002-FF85-45E5-8788-ED12D80626DB}"/>
            </c:ext>
          </c:extLst>
        </c:ser>
        <c:ser>
          <c:idx val="3"/>
          <c:order val="3"/>
          <c:tx>
            <c:strRef>
              <c:f>總計!$F$7</c:f>
              <c:strCache>
                <c:ptCount val="1"/>
                <c:pt idx="0">
                  <c:v>再生能源</c:v>
                </c:pt>
              </c:strCache>
            </c:strRef>
          </c:tx>
          <c:spPr>
            <a:solidFill>
              <a:srgbClr val="00B050"/>
            </a:solidFill>
            <a:ln>
              <a:noFill/>
            </a:ln>
            <a:effectLst/>
          </c:spPr>
          <c:invertIfNegative val="0"/>
          <c:cat>
            <c:strRef>
              <c:f>總計!$B$8:$B$12</c:f>
              <c:strCache>
                <c:ptCount val="5"/>
                <c:pt idx="0">
                  <c:v>2014年</c:v>
                </c:pt>
                <c:pt idx="1">
                  <c:v>2015年</c:v>
                </c:pt>
                <c:pt idx="2">
                  <c:v>2016年</c:v>
                </c:pt>
                <c:pt idx="3">
                  <c:v>2017年</c:v>
                </c:pt>
                <c:pt idx="4">
                  <c:v>2018年</c:v>
                </c:pt>
              </c:strCache>
            </c:strRef>
          </c:cat>
          <c:val>
            <c:numRef>
              <c:f>總計!$F$8:$F$12</c:f>
              <c:numCache>
                <c:formatCode>0%</c:formatCode>
                <c:ptCount val="5"/>
                <c:pt idx="0">
                  <c:v>3.8168279523788463E-2</c:v>
                </c:pt>
                <c:pt idx="1">
                  <c:v>4.0582541192252575E-2</c:v>
                </c:pt>
                <c:pt idx="2">
                  <c:v>4.8200492733183706E-2</c:v>
                </c:pt>
                <c:pt idx="3">
                  <c:v>4.5754447667378559E-2</c:v>
                </c:pt>
                <c:pt idx="4">
                  <c:v>4.5918901976604483E-2</c:v>
                </c:pt>
              </c:numCache>
            </c:numRef>
          </c:val>
          <c:extLst>
            <c:ext xmlns:c16="http://schemas.microsoft.com/office/drawing/2014/chart" uri="{C3380CC4-5D6E-409C-BE32-E72D297353CC}">
              <c16:uniqueId val="{00000003-FF85-45E5-8788-ED12D80626DB}"/>
            </c:ext>
          </c:extLst>
        </c:ser>
        <c:dLbls>
          <c:showLegendKey val="0"/>
          <c:showVal val="0"/>
          <c:showCatName val="0"/>
          <c:showSerName val="0"/>
          <c:showPercent val="0"/>
          <c:showBubbleSize val="0"/>
        </c:dLbls>
        <c:gapWidth val="182"/>
        <c:axId val="409338080"/>
        <c:axId val="409339040"/>
      </c:barChart>
      <c:catAx>
        <c:axId val="409338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9339040"/>
        <c:crosses val="autoZero"/>
        <c:auto val="1"/>
        <c:lblAlgn val="ctr"/>
        <c:lblOffset val="100"/>
        <c:noMultiLvlLbl val="0"/>
      </c:catAx>
      <c:valAx>
        <c:axId val="4093390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933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49CC-F772-49C1-8EA4-9702CD95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竣捷 楊</dc:creator>
  <cp:keywords/>
  <dc:description/>
  <cp:lastModifiedBy>Yu-Cheng, Chang</cp:lastModifiedBy>
  <cp:revision>9</cp:revision>
  <dcterms:created xsi:type="dcterms:W3CDTF">2023-04-10T07:16:00Z</dcterms:created>
  <dcterms:modified xsi:type="dcterms:W3CDTF">2023-04-10T14:01:00Z</dcterms:modified>
</cp:coreProperties>
</file>