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440" w:after="120"/>
      </w:pPr>
      <w:r>
        <w:rPr>
          <w:rFonts w:ascii="Times New Roman" w:hAnsi="Times New Roman" w:eastAsia="標楷體" w:cs="標楷體"/>
          <w:sz w:val="32"/>
          <w:szCs w:val="32"/>
        </w:rPr>
        <w:t>國立台東大學資訊管理學系</w:t>
      </w:r>
    </w:p>
    <w:p>
      <w:pPr>
        <w:jc w:val="center"/>
        <w:spacing w:before="120" w:after="240"/>
      </w:pPr>
      <w:r>
        <w:rPr>
          <w:rFonts w:ascii="Times New Roman" w:hAnsi="Times New Roman" w:eastAsia="標楷體" w:cs="標楷體"/>
          <w:sz w:val="32"/>
          <w:szCs w:val="32"/>
        </w:rPr>
        <w:t>畢業專題</w:t>
      </w:r>
    </w:p>
    <w:p>
      <w:pPr>
        <w:jc w:val="center"/>
        <w:spacing w:before="0" w:after="80"/>
      </w:pPr>
      <w:r>
        <w:rPr>
          <w:rFonts w:ascii="Times New Roman" w:hAnsi="Times New Roman" w:eastAsia="標楷體" w:cs="標楷體"/>
          <w:sz w:val="22"/>
          <w:szCs w:val="22"/>
        </w:rPr>
        <w:t>Department of Information Science and Management Systems</w:t>
      </w:r>
    </w:p>
    <w:p>
      <w:pPr>
        <w:jc w:val="center"/>
        <w:spacing w:before="80" w:after="720"/>
      </w:pPr>
      <w:r>
        <w:rPr>
          <w:rFonts w:ascii="Times New Roman" w:hAnsi="Times New Roman" w:eastAsia="標楷體" w:cs="標楷體"/>
          <w:sz w:val="22"/>
          <w:szCs w:val="22"/>
        </w:rPr>
        <w:t>National Taitung University</w:t>
      </w:r>
    </w:p>
    <w:p>
      <w:pPr>
        <w:jc w:val="center"/>
        <w:spacing w:before="720" w:after="160"/>
      </w:pPr>
      <w:r>
        <w:rPr>
          <w:rFonts w:ascii="Times New Roman" w:hAnsi="Times New Roman" w:eastAsia="標楷體" w:cs="標楷體"/>
          <w:b/>
          <w:sz w:val="40"/>
          <w:szCs w:val="40"/>
        </w:rPr>
        <w:t>植樹碳紀錄管理平台：整合 AI 量測與區塊鏈存證</w:t>
      </w:r>
    </w:p>
    <w:p>
      <w:pPr>
        <w:jc w:val="center"/>
        <w:spacing w:before="160" w:after="480"/>
      </w:pPr>
      <w:r>
        <w:rPr>
          <w:rFonts w:ascii="Times New Roman" w:hAnsi="Times New Roman" w:eastAsia="標楷體" w:cs="標楷體"/>
          <w:b/>
          <w:sz w:val="32"/>
          <w:szCs w:val="32"/>
        </w:rPr>
        <w:t>——以 SDG 15（陸域生命）永續林地管理與植樹造林為導向</w:t>
      </w:r>
    </w:p>
    <w:p>
      <w:pPr>
        <w:jc w:val="center"/>
        <w:spacing w:before="0" w:after="80"/>
      </w:pPr>
      <w:r>
        <w:rPr>
          <w:rFonts w:ascii="Times New Roman" w:hAnsi="Times New Roman" w:eastAsia="標楷體" w:cs="標楷體"/>
          <w:sz w:val="24"/>
          <w:szCs w:val="24"/>
        </w:rPr>
        <w:t>Tree Planting Carbon Record Management Platform: Integrating AI Measurement and Blockchain</w:t>
      </w:r>
    </w:p>
    <w:p>
      <w:pPr>
        <w:jc w:val="center"/>
        <w:spacing w:before="80" w:after="1440"/>
      </w:pPr>
      <w:r>
        <w:rPr>
          <w:rFonts w:ascii="Times New Roman" w:hAnsi="Times New Roman" w:eastAsia="標楷體" w:cs="標楷體"/>
          <w:sz w:val="24"/>
          <w:szCs w:val="24"/>
        </w:rPr>
        <w:t>— Oriented to SDG 15 (Life on Land) Sustainable Forest Management and Afforestation</w:t>
      </w:r>
    </w:p>
    <w:p>
      <w:pPr>
        <w:jc w:val="center"/>
        <w:spacing w:before="0" w:after="240"/>
      </w:pPr>
      <w:r>
        <w:rPr>
          <w:rFonts w:ascii="Times New Roman" w:hAnsi="Times New Roman" w:eastAsia="標楷體" w:cs="標楷體"/>
          <w:sz w:val="26"/>
          <w:szCs w:val="26"/>
        </w:rPr>
        <w:t>專題學生：陳冠名、張子俊、牛禹喬</w:t>
      </w:r>
    </w:p>
    <w:p>
      <w:pPr>
        <w:jc w:val="center"/>
        <w:spacing w:before="240" w:after="120"/>
      </w:pPr>
      <w:r>
        <w:rPr>
          <w:rFonts w:ascii="Times New Roman" w:hAnsi="Times New Roman" w:eastAsia="標楷體" w:cs="標楷體"/>
          <w:sz w:val="26"/>
          <w:szCs w:val="26"/>
        </w:rPr>
        <w:t>指導教授：謝明哲　博士</w:t>
      </w:r>
    </w:p>
    <w:p>
      <w:pPr>
        <w:jc w:val="center"/>
        <w:spacing w:before="120" w:after="1440"/>
      </w:pPr>
      <w:r>
        <w:rPr>
          <w:rFonts w:ascii="Times New Roman" w:hAnsi="Times New Roman" w:eastAsia="標楷體" w:cs="標楷體"/>
          <w:sz w:val="22"/>
          <w:szCs w:val="22"/>
        </w:rPr>
        <w:t>Advisor: Ming-Che Hsieh, Ph.D.</w:t>
      </w:r>
    </w:p>
    <w:p>
      <w:pPr>
        <w:jc w:val="center"/>
        <w:spacing w:before="0" w:after="120"/>
      </w:pPr>
      <w:r>
        <w:rPr>
          <w:rFonts w:ascii="Times New Roman" w:hAnsi="Times New Roman" w:eastAsia="標楷體" w:cs="標楷體"/>
          <w:sz w:val="26"/>
          <w:szCs w:val="26"/>
        </w:rPr>
        <w:t>中華民國116年7月</w:t>
      </w:r>
    </w:p>
    <w:p>
      <w:pPr>
        <w:jc w:val="center"/>
        <w:spacing w:before="120" w:after="0"/>
      </w:pPr>
      <w:r>
        <w:rPr>
          <w:rFonts w:ascii="Times New Roman" w:hAnsi="Times New Roman" w:eastAsia="標楷體" w:cs="標楷體"/>
          <w:sz w:val="22"/>
          <w:szCs w:val="22"/>
        </w:rPr>
        <w:t>July, 2027</w:t>
      </w:r>
    </w:p>
    <w:p>
      <w:pPr/>
      <w:r>
        <w:rPr>
          <w:rFonts w:ascii="Times New Roman" w:hAnsi="Times New Roman" w:eastAsia="標楷體" w:cs="標楷體"/>
          <w:noProof/>
        </w:rPr>
        <w:br w:type="page"/>
      </w:r>
    </w:p>
    <w:p>
      <w:pPr>
        <w:pStyle w:val="Heading1"/>
      </w:pPr>
      <w:bookmarkStart w:id="1" w:name="_Toc10000"/>
      <w:r>
        <w:rPr>
          <w:rFonts w:ascii="Times New Roman" w:hAnsi="Times New Roman" w:eastAsia="標楷體" w:cs="標楷體"/>
        </w:rPr>
        <w:t>中文摘要</w:t>
      </w:r>
      <w:bookmarkEnd w:id="1"/>
    </w:p>
    <w:p>
      <w:pPr>
        <w:pStyle w:val="Normal"/>
        <w:spacing w:after="120"/>
      </w:pPr>
      <w:r>
        <w:rPr>
          <w:rFonts w:ascii="Times New Roman" w:hAnsi="Times New Roman" w:eastAsia="標楷體" w:cs="標楷體"/>
        </w:rPr>
        <w:t xml:space="preserve">面對全球氣候變遷與碳排放治理的挑戰，植樹造林與再造林（Afforestation and Reforestation, A/R）被視為達成各國國家自主貢獻（NDCs）減碳目標的重要自然解方，亦是聯合國永續發展目標 SDG 15（陸域生命）的核心實踐途徑。然而，現行人工胸高直徑（DBH）量測方法費時費力，且缺乏具有法律效力的碳匯數據紀錄機制，使中小規模地主難以進入正式碳交易市場，形成制度與技術雙重障礙。</w:t>
      </w:r>
    </w:p>
    <w:p>
      <w:pPr>
        <w:pStyle w:val="Normal"/>
        <w:spacing w:after="120"/>
      </w:pPr>
      <w:r>
        <w:rPr>
          <w:rFonts w:ascii="Times New Roman" w:hAnsi="Times New Roman" w:eastAsia="標楷體" w:cs="標楷體"/>
        </w:rPr>
        <w:t xml:space="preserve">本研究採用設計科學研究法（Design Science Research Methodology, DSRM），建構一套植樹碳紀錄管理平台，整合三項核心技術支柱：其一，以薄透鏡公式為基礎的智慧型手機電腦視覺 DBH 量測引擎，提供主要量測路徑（Path A：參照物比例法）與備援路徑（Path B：薄透鏡比例法）；其二，動態加權移動平均修正因子（CF）自演進帳本，累積真實量測值後自動計算樹種特定修正係數；其三，Hyperledger Besu企業私鏈結合 CarbonCredit.sol 智能合約的區塊鏈存證機制。平台同步依據 Verra VM0047 碳方法學進行合規驗算，並以 Hevner 等人（2004）七項準則評估研究嚴謹性。</w:t>
      </w:r>
    </w:p>
    <w:p>
      <w:pPr>
        <w:pStyle w:val="Normal"/>
        <w:spacing w:after="120"/>
      </w:pPr>
      <w:r>
        <w:rPr>
          <w:rFonts w:ascii="Times New Roman" w:hAnsi="Times New Roman" w:eastAsia="標楷體" w:cs="標楷體"/>
        </w:rPr>
        <w:t xml:space="preserve">田野實驗量測 32 棵跨 14 樹種樣本，主要路徑（Path A）全樣本平均絕對誤差（MAE）為 7.86 cm，平均絕對百分比誤差（MAPE）為 12.9%，超越預設精度目標（MAPE ≤ 25%）；自演進修正因子機制累積 5 筆真實量測值後有效縮小 Path B 系統性偏差；32 筆量測資料全數成功上鏈並取得已確認狀態交易雜湊，驗證區塊鏈存證之不可篡改性。本平台可作為臺灣首件 Verra 林業碳匯認證申請的技術基礎，為 NDCs 政策架構提供具實證依據的碳匯計量與存證參考路徑。</w:t>
      </w:r>
    </w:p>
    <w:p>
      <w:pPr>
        <w:pStyle w:val="Normal"/>
        <w:spacing w:before="120"/>
      </w:pPr>
      <w:r>
        <w:rPr>
          <w:rFonts w:ascii="Times New Roman" w:hAnsi="Times New Roman" w:eastAsia="標楷體" w:cs="標楷體"/>
          <w:b/>
        </w:rPr>
        <w:t xml:space="preserve">關鍵字：植樹碳紀錄、AI 量測、區塊鏈存證、胸高直徑、碳匯、SDG 15、設計科學研究法</w:t>
      </w:r>
    </w:p>
    <w:p>
      <w:r>
        <w:rPr>
          <w:rFonts w:ascii="Times New Roman" w:hAnsi="Times New Roman" w:eastAsia="標楷體" w:cs="標楷體"/>
        </w:rPr>
        <w:br w:type="page"/>
      </w:r>
    </w:p>
    <w:p>
      <w:pPr>
        <w:pStyle w:val="Heading1"/>
      </w:pPr>
      <w:bookmarkStart w:id="2" w:name="_Toc10001"/>
      <w:r>
        <w:rPr>
          <w:rFonts w:ascii="Times New Roman" w:hAnsi="Times New Roman" w:eastAsia="標楷體" w:cs="標楷體"/>
        </w:rPr>
        <w:t>Abstract</w:t>
      </w:r>
      <w:bookmarkEnd w:id="2"/>
    </w:p>
    <w:p>
      <w:pPr>
        <w:pStyle w:val="Normal"/>
        <w:spacing w:after="120"/>
      </w:pPr>
      <w:r>
        <w:rPr>
          <w:rFonts w:ascii="Times New Roman" w:hAnsi="Times New Roman" w:eastAsia="標楷體" w:cs="標楷體"/>
        </w:rPr>
        <w:t xml:space="preserve">As climate change intensifies, afforestation and reforestation (A/R) have emerged as critical natural-based solutions for meeting countries' Nationally Determined Contributions (NDCs) and advancing the United Nations Sustainable Development Goal 15 (SDG 15: Life on Land). However, conventional manual tree diameter at breast height (DBH) measurement methods are labor-intensive, and the absence of legally verifiable carbon sink recording mechanisms prevents smallholder landowners from participating in formal carbon markets.</w:t>
      </w:r>
    </w:p>
    <w:p>
      <w:pPr>
        <w:pStyle w:val="Normal"/>
        <w:spacing w:after="120"/>
      </w:pPr>
      <w:r>
        <w:rPr>
          <w:rFonts w:ascii="Times New Roman" w:hAnsi="Times New Roman" w:eastAsia="標楷體" w:cs="標楷體"/>
        </w:rPr>
        <w:t xml:space="preserve">This study applies the Design Science Research Methodology (DSRM) to develop a Tree Planting Carbon Record Management Platform integrating three technical pillars: (1) a smartphone-based computer vision DBH measurement engine grounded in the thin-lens formula, offering a primary path (Path A: reference-object ratio) and a backup path (Path B: thin-lens ratio); (2) a dynamic weighted moving average correction factor (CF) self-evolution ledger that automatically calibrates species-specific correction coefficients after accumulating actual measurements; and (3) a Hyperledger Besu enterprise blockchain attestation mechanism combined with the CarbonCredit.sol smart contract. The platform is validated against the Verra VM0047 carbon methodology and assessed using Hevner et al.'s (2004) seven criteria for design science research rigor.</w:t>
      </w:r>
    </w:p>
    <w:p>
      <w:pPr>
        <w:pStyle w:val="Normal"/>
        <w:spacing w:after="120"/>
      </w:pPr>
      <w:r>
        <w:rPr>
          <w:rFonts w:ascii="Times New Roman" w:hAnsi="Times New Roman" w:eastAsia="標楷體" w:cs="標楷體"/>
        </w:rPr>
        <w:t xml:space="preserve">Field experiments measuring 32 sample trees across 14 species demonstrated that the primary path (Path A) achieved a mean absolute error (MAE) of 7.86 cm and a mean absolute percentage error (MAPE) of 12.9%, surpassing the preset accuracy threshold of MAPE ≤ 25%. The self-evolving CF mechanism effectively reduced systematic bias in Path B after accumulating five actual measurements. All 32 records were successfully committed to the blockchain with confirmed transaction hashes, verifying tamper-proof integrity. This platform provides a foundational technical infrastructure for Taiwan's first Verra forestry carbon credit application and offers an evidence-based carbon measurement and attestation pathway aligned with NDCs policy frameworks.</w:t>
      </w:r>
    </w:p>
    <w:p>
      <w:pPr>
        <w:pStyle w:val="Normal"/>
        <w:spacing w:before="120"/>
      </w:pPr>
      <w:r>
        <w:rPr>
          <w:rFonts w:ascii="Times New Roman" w:hAnsi="Times New Roman" w:eastAsia="標楷體" w:cs="標楷體"/>
          <w:b/>
        </w:rPr>
        <w:t xml:space="preserve">Keywords: tree planting carbon record, AI measurement, blockchain attestation, DBH, carbon sink, SDG 15, design science research</w:t>
      </w:r>
    </w:p>
    <w:p>
      <w:r>
        <w:rPr>
          <w:rFonts w:ascii="Times New Roman" w:hAnsi="Times New Roman" w:eastAsia="標楷體" w:cs="標楷體"/>
        </w:rPr>
        <w:br w:type="page"/>
      </w:r>
    </w:p>
    <w:p>
      <w:pPr>
        <w:pStyle w:val="TOCHeading"/>
        <w:pageBreakBefore/>
      </w:pPr>
      <w:r>
        <w:rPr>
          <w:rFonts w:ascii="Times New Roman" w:hAnsi="Times New Roman" w:eastAsia="標楷體" w:cs="標楷體"/>
        </w:rPr>
        <w:t>目錄</w:t>
      </w:r>
    </w:p>
    <w:p>
      <w:r>
        <w:rPr>
          <w:rFonts w:ascii="Times New Roman" w:hAnsi="Times New Roman" w:eastAsia="標楷體" w:cs="標楷體"/>
        </w:rPr>
        <w:fldChar w:fldCharType="begin" w:dirty="true"/>
      </w:r>
      <w:r>
        <w:rPr>
          <w:rFonts w:ascii="Times New Roman" w:hAnsi="Times New Roman" w:eastAsia="標楷體" w:cs="標楷體"/>
        </w:rPr>
        <w:instrText xml:space="preserve"> TOC \o "1-3" \h \z \u </w:instrText>
      </w:r>
      <w:r>
        <w:rPr>
          <w:rFonts w:ascii="Times New Roman" w:hAnsi="Times New Roman" w:eastAsia="標楷體" w:cs="標楷體"/>
        </w:rPr>
        <w:fldChar w:fldCharType="separate"/>
      </w:r>
    </w:p>
    <w:p>
      <w:pPr>
        <w:pStyle w:val="TOC1"/>
      </w:pPr>
      <w:hyperlink w:anchor="_Toc10000" w:history="1">
        <w:r>
          <w:rPr>
            <w:rFonts w:ascii="Times New Roman" w:hAnsi="Times New Roman" w:eastAsia="標楷體" w:cs="標楷體"/>
          </w:rPr>
          <w:t>中文摘要</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_Toc10000 \h </w:instrText>
        </w:r>
        <w:r>
          <w:rPr>
            <w:rFonts w:ascii="Times New Roman" w:hAnsi="Times New Roman" w:eastAsia="標楷體" w:cs="標楷體"/>
            <w:webHidden/>
          </w:rPr>
          <w:fldChar w:fldCharType="separate"/>
        </w:r>
        <w:r>
          <w:rPr>
            <w:rFonts w:ascii="Times New Roman" w:hAnsi="Times New Roman" w:eastAsia="標楷體" w:cs="標楷體"/>
            <w:webHidden/>
          </w:rPr>
          <w:t>1</w:t>
        </w:r>
        <w:r>
          <w:rPr>
            <w:rFonts w:ascii="Times New Roman" w:hAnsi="Times New Roman" w:eastAsia="標楷體" w:cs="標楷體"/>
            <w:webHidden/>
          </w:rPr>
          <w:fldChar w:fldCharType="end"/>
        </w:r>
      </w:hyperlink>
    </w:p>
    <w:p>
      <w:pPr>
        <w:pStyle w:val="TOC1"/>
      </w:pPr>
      <w:hyperlink w:anchor="_Toc10001" w:history="1">
        <w:r>
          <w:rPr>
            <w:rFonts w:ascii="Times New Roman" w:hAnsi="Times New Roman" w:eastAsia="標楷體" w:cs="標楷體"/>
          </w:rPr>
          <w:t>Abstract</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_Toc10001 \h </w:instrText>
        </w:r>
        <w:r>
          <w:rPr>
            <w:rFonts w:ascii="Times New Roman" w:hAnsi="Times New Roman" w:eastAsia="標楷體" w:cs="標楷體"/>
            <w:webHidden/>
          </w:rPr>
          <w:fldChar w:fldCharType="separate"/>
        </w:r>
        <w:r>
          <w:rPr>
            <w:rFonts w:ascii="Times New Roman" w:hAnsi="Times New Roman" w:eastAsia="標楷體" w:cs="標楷體"/>
            <w:webHidden/>
          </w:rPr>
          <w:t>2</w:t>
        </w:r>
        <w:r>
          <w:rPr>
            <w:rFonts w:ascii="Times New Roman" w:hAnsi="Times New Roman" w:eastAsia="標楷體" w:cs="標楷體"/>
            <w:webHidden/>
          </w:rPr>
          <w:fldChar w:fldCharType="end"/>
        </w:r>
      </w:hyperlink>
    </w:p>
    <w:p>
      <w:pPr>
        <w:pStyle w:val="TOC1"/>
      </w:pPr>
      <w:hyperlink w:anchor="_Toc10002" w:history="1">
        <w:r>
          <w:rPr>
            <w:rFonts w:ascii="Times New Roman" w:hAnsi="Times New Roman" w:eastAsia="標楷體" w:cs="標楷體"/>
          </w:rPr>
          <w:t>第一章　問題識別與動機建構</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_Toc10002 \h </w:instrText>
        </w:r>
        <w:r>
          <w:rPr>
            <w:rFonts w:ascii="Times New Roman" w:hAnsi="Times New Roman" w:eastAsia="標楷體" w:cs="標楷體"/>
            <w:webHidden/>
          </w:rPr>
          <w:fldChar w:fldCharType="separate"/>
        </w:r>
        <w:r>
          <w:rPr>
            <w:rFonts w:ascii="Times New Roman" w:hAnsi="Times New Roman" w:eastAsia="標楷體" w:cs="標楷體"/>
            <w:webHidden/>
          </w:rPr>
          <w:t>3</w:t>
        </w:r>
        <w:r>
          <w:rPr>
            <w:rFonts w:ascii="Times New Roman" w:hAnsi="Times New Roman" w:eastAsia="標楷體" w:cs="標楷體"/>
            <w:webHidden/>
          </w:rPr>
          <w:fldChar w:fldCharType="end"/>
        </w:r>
      </w:hyperlink>
    </w:p>
    <w:p>
      <w:pPr>
        <w:pStyle w:val="TOC2"/>
      </w:pPr>
      <w:hyperlink w:anchor="_Toc10003" w:history="1">
        <w:r>
          <w:rPr>
            <w:rFonts w:ascii="Times New Roman" w:hAnsi="Times New Roman" w:eastAsia="標楷體" w:cs="標楷體"/>
          </w:rPr>
          <w:t>1.1 研究背景與動機</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_Toc10003 \h </w:instrText>
        </w:r>
        <w:r>
          <w:rPr>
            <w:rFonts w:ascii="Times New Roman" w:hAnsi="Times New Roman" w:eastAsia="標楷體" w:cs="標楷體"/>
            <w:webHidden/>
          </w:rPr>
          <w:fldChar w:fldCharType="separate"/>
        </w:r>
        <w:r>
          <w:rPr>
            <w:rFonts w:ascii="Times New Roman" w:hAnsi="Times New Roman" w:eastAsia="標楷體" w:cs="標楷體"/>
            <w:webHidden/>
          </w:rPr>
          <w:t>4</w:t>
        </w:r>
        <w:r>
          <w:rPr>
            <w:rFonts w:ascii="Times New Roman" w:hAnsi="Times New Roman" w:eastAsia="標楷體" w:cs="標楷體"/>
            <w:webHidden/>
          </w:rPr>
          <w:fldChar w:fldCharType="end"/>
        </w:r>
      </w:hyperlink>
    </w:p>
    <w:p>
      <w:pPr>
        <w:pStyle w:val="TOC2"/>
      </w:pPr>
      <w:hyperlink w:anchor="_Toc10004" w:history="1">
        <w:r>
          <w:rPr>
            <w:rFonts w:ascii="Times New Roman" w:hAnsi="Times New Roman" w:eastAsia="標楷體" w:cs="標楷體"/>
          </w:rPr>
          <w:t>1.2 研究問題</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_Toc10004 \h </w:instrText>
        </w:r>
        <w:r>
          <w:rPr>
            <w:rFonts w:ascii="Times New Roman" w:hAnsi="Times New Roman" w:eastAsia="標楷體" w:cs="標楷體"/>
            <w:webHidden/>
          </w:rPr>
          <w:fldChar w:fldCharType="separate"/>
        </w:r>
        <w:r>
          <w:rPr>
            <w:rFonts w:ascii="Times New Roman" w:hAnsi="Times New Roman" w:eastAsia="標楷體" w:cs="標楷體"/>
            <w:webHidden/>
          </w:rPr>
          <w:t>5</w:t>
        </w:r>
        <w:r>
          <w:rPr>
            <w:rFonts w:ascii="Times New Roman" w:hAnsi="Times New Roman" w:eastAsia="標楷體" w:cs="標楷體"/>
            <w:webHidden/>
          </w:rPr>
          <w:fldChar w:fldCharType="end"/>
        </w:r>
      </w:hyperlink>
    </w:p>
    <w:p>
      <w:pPr>
        <w:pStyle w:val="TOC2"/>
      </w:pPr>
      <w:hyperlink w:anchor="_Toc10005" w:history="1">
        <w:r>
          <w:rPr>
            <w:rFonts w:ascii="Times New Roman" w:hAnsi="Times New Roman" w:eastAsia="標楷體" w:cs="標楷體"/>
          </w:rPr>
          <w:t>1.3 研究目的</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_Toc10005 \h </w:instrText>
        </w:r>
        <w:r>
          <w:rPr>
            <w:rFonts w:ascii="Times New Roman" w:hAnsi="Times New Roman" w:eastAsia="標楷體" w:cs="標楷體"/>
            <w:webHidden/>
          </w:rPr>
          <w:fldChar w:fldCharType="separate"/>
        </w:r>
        <w:r>
          <w:rPr>
            <w:rFonts w:ascii="Times New Roman" w:hAnsi="Times New Roman" w:eastAsia="標楷體" w:cs="標楷體"/>
            <w:webHidden/>
          </w:rPr>
          <w:t>6</w:t>
        </w:r>
        <w:r>
          <w:rPr>
            <w:rFonts w:ascii="Times New Roman" w:hAnsi="Times New Roman" w:eastAsia="標楷體" w:cs="標楷體"/>
            <w:webHidden/>
          </w:rPr>
          <w:fldChar w:fldCharType="end"/>
        </w:r>
      </w:hyperlink>
    </w:p>
    <w:p>
      <w:pPr>
        <w:pStyle w:val="TOC2"/>
      </w:pPr>
      <w:hyperlink w:anchor="_Toc10006" w:history="1">
        <w:r>
          <w:rPr>
            <w:rFonts w:ascii="Times New Roman" w:hAnsi="Times New Roman" w:eastAsia="標楷體" w:cs="標楷體"/>
          </w:rPr>
          <w:t>1.4 研究方法架構</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_Toc10006 \h </w:instrText>
        </w:r>
        <w:r>
          <w:rPr>
            <w:rFonts w:ascii="Times New Roman" w:hAnsi="Times New Roman" w:eastAsia="標楷體" w:cs="標楷體"/>
            <w:webHidden/>
          </w:rPr>
          <w:fldChar w:fldCharType="separate"/>
        </w:r>
        <w:r>
          <w:rPr>
            <w:rFonts w:ascii="Times New Roman" w:hAnsi="Times New Roman" w:eastAsia="標楷體" w:cs="標楷體"/>
            <w:webHidden/>
          </w:rPr>
          <w:t>7</w:t>
        </w:r>
        <w:r>
          <w:rPr>
            <w:rFonts w:ascii="Times New Roman" w:hAnsi="Times New Roman" w:eastAsia="標楷體" w:cs="標楷體"/>
            <w:webHidden/>
          </w:rPr>
          <w:fldChar w:fldCharType="end"/>
        </w:r>
      </w:hyperlink>
    </w:p>
    <w:p>
      <w:pPr>
        <w:pStyle w:val="TOC2"/>
      </w:pPr>
      <w:hyperlink w:anchor="_Toc10007" w:history="1">
        <w:r>
          <w:rPr>
            <w:rFonts w:ascii="Times New Roman" w:hAnsi="Times New Roman" w:eastAsia="標楷體" w:cs="標楷體"/>
          </w:rPr>
          <w:t>1.5 論文架構</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_Toc10007 \h </w:instrText>
        </w:r>
        <w:r>
          <w:rPr>
            <w:rFonts w:ascii="Times New Roman" w:hAnsi="Times New Roman" w:eastAsia="標楷體" w:cs="標楷體"/>
            <w:webHidden/>
          </w:rPr>
          <w:fldChar w:fldCharType="separate"/>
        </w:r>
        <w:r>
          <w:rPr>
            <w:rFonts w:ascii="Times New Roman" w:hAnsi="Times New Roman" w:eastAsia="標楷體" w:cs="標楷體"/>
            <w:webHidden/>
          </w:rPr>
          <w:t>8</w:t>
        </w:r>
        <w:r>
          <w:rPr>
            <w:rFonts w:ascii="Times New Roman" w:hAnsi="Times New Roman" w:eastAsia="標楷體" w:cs="標楷體"/>
            <w:webHidden/>
          </w:rPr>
          <w:fldChar w:fldCharType="end"/>
        </w:r>
      </w:hyperlink>
    </w:p>
    <w:p>
      <w:pPr>
        <w:pStyle w:val="TOC1"/>
      </w:pPr>
      <w:hyperlink w:anchor="_Toc10008" w:history="1">
        <w:r>
          <w:rPr>
            <w:rFonts w:ascii="Times New Roman" w:hAnsi="Times New Roman" w:eastAsia="標楷體" w:cs="標楷體"/>
          </w:rPr>
          <w:t>第二章　文獻探討</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_Toc10008 \h </w:instrText>
        </w:r>
        <w:r>
          <w:rPr>
            <w:rFonts w:ascii="Times New Roman" w:hAnsi="Times New Roman" w:eastAsia="標楷體" w:cs="標楷體"/>
            <w:webHidden/>
          </w:rPr>
          <w:fldChar w:fldCharType="separate"/>
        </w:r>
        <w:r>
          <w:rPr>
            <w:rFonts w:ascii="Times New Roman" w:hAnsi="Times New Roman" w:eastAsia="標楷體" w:cs="標楷體"/>
            <w:webHidden/>
          </w:rPr>
          <w:t>9</w:t>
        </w:r>
        <w:r>
          <w:rPr>
            <w:rFonts w:ascii="Times New Roman" w:hAnsi="Times New Roman" w:eastAsia="標楷體" w:cs="標楷體"/>
            <w:webHidden/>
          </w:rPr>
          <w:fldChar w:fldCharType="end"/>
        </w:r>
      </w:hyperlink>
    </w:p>
    <w:p>
      <w:pPr>
        <w:pStyle w:val="TOC2"/>
      </w:pPr>
      <w:hyperlink w:anchor="_Toc10009" w:history="1">
        <w:r>
          <w:rPr>
            <w:rFonts w:ascii="Times New Roman" w:hAnsi="Times New Roman" w:eastAsia="標楷體" w:cs="標楷體"/>
          </w:rPr>
          <w:t>2.1 林地碳匯背景與永續治理框架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_Toc10009 \h </w:instrText>
        </w:r>
        <w:r>
          <w:rPr>
            <w:rFonts w:ascii="Times New Roman" w:hAnsi="Times New Roman" w:eastAsia="標楷體" w:cs="標楷體"/>
            <w:webHidden/>
          </w:rPr>
          <w:fldChar w:fldCharType="separate"/>
        </w:r>
        <w:r>
          <w:rPr>
            <w:rFonts w:ascii="Times New Roman" w:hAnsi="Times New Roman" w:eastAsia="標楷體" w:cs="標楷體"/>
            <w:webHidden/>
          </w:rPr>
          <w:t>10</w:t>
        </w:r>
        <w:r>
          <w:rPr>
            <w:rFonts w:ascii="Times New Roman" w:hAnsi="Times New Roman" w:eastAsia="標楷體" w:cs="標楷體"/>
            <w:webHidden/>
          </w:rPr>
          <w:fldChar w:fldCharType="end"/>
        </w:r>
      </w:hyperlink>
    </w:p>
    <w:p>
      <w:pPr>
        <w:pStyle w:val="TOC2"/>
      </w:pPr>
      <w:hyperlink w:anchor="_Toc10010" w:history="1">
        <w:r>
          <w:rPr>
            <w:rFonts w:ascii="Times New Roman" w:hAnsi="Times New Roman" w:eastAsia="標楷體" w:cs="標楷體"/>
          </w:rPr>
          <w:t>2.2 胸高直徑量測方法文獻</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_Toc10010 \h </w:instrText>
        </w:r>
        <w:r>
          <w:rPr>
            <w:rFonts w:ascii="Times New Roman" w:hAnsi="Times New Roman" w:eastAsia="標楷體" w:cs="標楷體"/>
            <w:webHidden/>
          </w:rPr>
          <w:fldChar w:fldCharType="separate"/>
        </w:r>
        <w:r>
          <w:rPr>
            <w:rFonts w:ascii="Times New Roman" w:hAnsi="Times New Roman" w:eastAsia="標楷體" w:cs="標楷體"/>
            <w:webHidden/>
          </w:rPr>
          <w:t>11</w:t>
        </w:r>
        <w:r>
          <w:rPr>
            <w:rFonts w:ascii="Times New Roman" w:hAnsi="Times New Roman" w:eastAsia="標楷體" w:cs="標楷體"/>
            <w:webHidden/>
          </w:rPr>
          <w:fldChar w:fldCharType="end"/>
        </w:r>
      </w:hyperlink>
    </w:p>
    <w:p>
      <w:pPr>
        <w:pStyle w:val="TOC2"/>
      </w:pPr>
      <w:hyperlink w:anchor="_Toc10011" w:history="1">
        <w:r>
          <w:rPr>
            <w:rFonts w:ascii="Times New Roman" w:hAnsi="Times New Roman" w:eastAsia="標楷體" w:cs="標楷體"/>
          </w:rPr>
          <w:t>2.3 電腦視覺量測原理與薄透鏡公式</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_Toc10011 \h </w:instrText>
        </w:r>
        <w:r>
          <w:rPr>
            <w:rFonts w:ascii="Times New Roman" w:hAnsi="Times New Roman" w:eastAsia="標楷體" w:cs="標楷體"/>
            <w:webHidden/>
          </w:rPr>
          <w:fldChar w:fldCharType="separate"/>
        </w:r>
        <w:r>
          <w:rPr>
            <w:rFonts w:ascii="Times New Roman" w:hAnsi="Times New Roman" w:eastAsia="標楷體" w:cs="標楷體"/>
            <w:webHidden/>
          </w:rPr>
          <w:t>12</w:t>
        </w:r>
        <w:r>
          <w:rPr>
            <w:rFonts w:ascii="Times New Roman" w:hAnsi="Times New Roman" w:eastAsia="標楷體" w:cs="標楷體"/>
            <w:webHidden/>
          </w:rPr>
          <w:fldChar w:fldCharType="end"/>
        </w:r>
      </w:hyperlink>
    </w:p>
    <w:p>
      <w:pPr>
        <w:pStyle w:val="TOC2"/>
      </w:pPr>
      <w:hyperlink w:anchor="_Toc10012" w:history="1">
        <w:r>
          <w:rPr>
            <w:rFonts w:ascii="Times New Roman" w:hAnsi="Times New Roman" w:eastAsia="標楷體" w:cs="標楷體"/>
          </w:rPr>
          <w:t>2.4 AI 樹種辨識技術</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_Toc10012 \h </w:instrText>
        </w:r>
        <w:r>
          <w:rPr>
            <w:rFonts w:ascii="Times New Roman" w:hAnsi="Times New Roman" w:eastAsia="標楷體" w:cs="標楷體"/>
            <w:webHidden/>
          </w:rPr>
          <w:fldChar w:fldCharType="separate"/>
        </w:r>
        <w:r>
          <w:rPr>
            <w:rFonts w:ascii="Times New Roman" w:hAnsi="Times New Roman" w:eastAsia="標楷體" w:cs="標楷體"/>
            <w:webHidden/>
          </w:rPr>
          <w:t>13</w:t>
        </w:r>
        <w:r>
          <w:rPr>
            <w:rFonts w:ascii="Times New Roman" w:hAnsi="Times New Roman" w:eastAsia="標楷體" w:cs="標楷體"/>
            <w:webHidden/>
          </w:rPr>
          <w:fldChar w:fldCharType="end"/>
        </w:r>
      </w:hyperlink>
    </w:p>
    <w:p>
      <w:pPr>
        <w:pStyle w:val="TOC2"/>
      </w:pPr>
      <w:hyperlink w:anchor="_Toc10013" w:history="1">
        <w:r>
          <w:rPr>
            <w:rFonts w:ascii="Times New Roman" w:hAnsi="Times New Roman" w:eastAsia="標楷體" w:cs="標楷體"/>
          </w:rPr>
          <w:t>2.5 碳匯量化標準與 IPCC 規範</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_Toc10013 \h </w:instrText>
        </w:r>
        <w:r>
          <w:rPr>
            <w:rFonts w:ascii="Times New Roman" w:hAnsi="Times New Roman" w:eastAsia="標楷體" w:cs="標楷體"/>
            <w:webHidden/>
          </w:rPr>
          <w:fldChar w:fldCharType="separate"/>
        </w:r>
        <w:r>
          <w:rPr>
            <w:rFonts w:ascii="Times New Roman" w:hAnsi="Times New Roman" w:eastAsia="標楷體" w:cs="標楷體"/>
            <w:webHidden/>
          </w:rPr>
          <w:t>14</w:t>
        </w:r>
        <w:r>
          <w:rPr>
            <w:rFonts w:ascii="Times New Roman" w:hAnsi="Times New Roman" w:eastAsia="標楷體" w:cs="標楷體"/>
            <w:webHidden/>
          </w:rPr>
          <w:fldChar w:fldCharType="end"/>
        </w:r>
      </w:hyperlink>
    </w:p>
    <w:p>
      <w:pPr>
        <w:pStyle w:val="TOC2"/>
      </w:pPr>
      <w:hyperlink w:anchor="_Toc10014" w:history="1">
        <w:r>
          <w:rPr>
            <w:rFonts w:ascii="Times New Roman" w:hAnsi="Times New Roman" w:eastAsia="標楷體" w:cs="標楷體"/>
          </w:rPr>
          <w:t>2.6 區塊鏈於碳匯管理的應用</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_Toc10014 \h </w:instrText>
        </w:r>
        <w:r>
          <w:rPr>
            <w:rFonts w:ascii="Times New Roman" w:hAnsi="Times New Roman" w:eastAsia="標楷體" w:cs="標楷體"/>
            <w:webHidden/>
          </w:rPr>
          <w:fldChar w:fldCharType="separate"/>
        </w:r>
        <w:r>
          <w:rPr>
            <w:rFonts w:ascii="Times New Roman" w:hAnsi="Times New Roman" w:eastAsia="標楷體" w:cs="標楷體"/>
            <w:webHidden/>
          </w:rPr>
          <w:t>15</w:t>
        </w:r>
        <w:r>
          <w:rPr>
            <w:rFonts w:ascii="Times New Roman" w:hAnsi="Times New Roman" w:eastAsia="標楷體" w:cs="標楷體"/>
            <w:webHidden/>
          </w:rPr>
          <w:fldChar w:fldCharType="end"/>
        </w:r>
      </w:hyperlink>
    </w:p>
    <w:p>
      <w:pPr>
        <w:pStyle w:val="TOC2"/>
      </w:pPr>
      <w:hyperlink w:anchor="_Toc10015" w:history="1">
        <w:r>
          <w:rPr>
            <w:rFonts w:ascii="Times New Roman" w:hAnsi="Times New Roman" w:eastAsia="標楷體" w:cs="標楷體"/>
          </w:rPr>
          <w:t>2.7 統計評估方法與 設計科學研究法 嚴謹性</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_Toc10015 \h </w:instrText>
        </w:r>
        <w:r>
          <w:rPr>
            <w:rFonts w:ascii="Times New Roman" w:hAnsi="Times New Roman" w:eastAsia="標楷體" w:cs="標楷體"/>
            <w:webHidden/>
          </w:rPr>
          <w:fldChar w:fldCharType="separate"/>
        </w:r>
        <w:r>
          <w:rPr>
            <w:rFonts w:ascii="Times New Roman" w:hAnsi="Times New Roman" w:eastAsia="標楷體" w:cs="標楷體"/>
            <w:webHidden/>
          </w:rPr>
          <w:t>16</w:t>
        </w:r>
        <w:r>
          <w:rPr>
            <w:rFonts w:ascii="Times New Roman" w:hAnsi="Times New Roman" w:eastAsia="標楷體" w:cs="標楷體"/>
            <w:webHidden/>
          </w:rPr>
          <w:fldChar w:fldCharType="end"/>
        </w:r>
      </w:hyperlink>
    </w:p>
    <w:p>
      <w:pPr>
        <w:pStyle w:val="TOC2"/>
      </w:pPr>
      <w:hyperlink w:anchor="_Toc10016" w:history="1">
        <w:r>
          <w:rPr>
            <w:rFonts w:ascii="Times New Roman" w:hAnsi="Times New Roman" w:eastAsia="標楷體" w:cs="標楷體"/>
          </w:rPr>
          <w:t>2.8 碳匯共享價值與系統性變革框架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_Toc10016 \h </w:instrText>
        </w:r>
        <w:r>
          <w:rPr>
            <w:rFonts w:ascii="Times New Roman" w:hAnsi="Times New Roman" w:eastAsia="標楷體" w:cs="標楷體"/>
            <w:webHidden/>
          </w:rPr>
          <w:fldChar w:fldCharType="separate"/>
        </w:r>
        <w:r>
          <w:rPr>
            <w:rFonts w:ascii="Times New Roman" w:hAnsi="Times New Roman" w:eastAsia="標楷體" w:cs="標楷體"/>
            <w:webHidden/>
          </w:rPr>
          <w:t>17</w:t>
        </w:r>
        <w:r>
          <w:rPr>
            <w:rFonts w:ascii="Times New Roman" w:hAnsi="Times New Roman" w:eastAsia="標楷體" w:cs="標楷體"/>
            <w:webHidden/>
          </w:rPr>
          <w:fldChar w:fldCharType="end"/>
        </w:r>
      </w:hyperlink>
    </w:p>
    <w:p>
      <w:pPr>
        <w:pStyle w:val="TOC2"/>
      </w:pPr>
      <w:hyperlink w:anchor="_Toc10017" w:history="1">
        <w:r>
          <w:rPr>
            <w:rFonts w:ascii="Times New Roman" w:hAnsi="Times New Roman" w:eastAsia="標楷體" w:cs="標楷體"/>
          </w:rPr>
          <w:t>2.9 文獻缺口與此專案定位</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_Toc10017 \h </w:instrText>
        </w:r>
        <w:r>
          <w:rPr>
            <w:rFonts w:ascii="Times New Roman" w:hAnsi="Times New Roman" w:eastAsia="標楷體" w:cs="標楷體"/>
            <w:webHidden/>
          </w:rPr>
          <w:fldChar w:fldCharType="separate"/>
        </w:r>
        <w:r>
          <w:rPr>
            <w:rFonts w:ascii="Times New Roman" w:hAnsi="Times New Roman" w:eastAsia="標楷體" w:cs="標楷體"/>
            <w:webHidden/>
          </w:rPr>
          <w:t>18</w:t>
        </w:r>
        <w:r>
          <w:rPr>
            <w:rFonts w:ascii="Times New Roman" w:hAnsi="Times New Roman" w:eastAsia="標楷體" w:cs="標楷體"/>
            <w:webHidden/>
          </w:rPr>
          <w:fldChar w:fldCharType="end"/>
        </w:r>
      </w:hyperlink>
    </w:p>
    <w:p>
      <w:pPr>
        <w:pStyle w:val="TOC1"/>
      </w:pPr>
      <w:hyperlink w:anchor="_Toc10018" w:history="1">
        <w:r>
          <w:rPr>
            <w:rFonts w:ascii="Times New Roman" w:hAnsi="Times New Roman" w:eastAsia="標楷體" w:cs="標楷體"/>
          </w:rPr>
          <w:t>第三章　設計與發展解決方案</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_Toc10018 \h </w:instrText>
        </w:r>
        <w:r>
          <w:rPr>
            <w:rFonts w:ascii="Times New Roman" w:hAnsi="Times New Roman" w:eastAsia="標楷體" w:cs="標楷體"/>
            <w:webHidden/>
          </w:rPr>
          <w:fldChar w:fldCharType="separate"/>
        </w:r>
        <w:r>
          <w:rPr>
            <w:rFonts w:ascii="Times New Roman" w:hAnsi="Times New Roman" w:eastAsia="標楷體" w:cs="標楷體"/>
            <w:webHidden/>
          </w:rPr>
          <w:t>19</w:t>
        </w:r>
        <w:r>
          <w:rPr>
            <w:rFonts w:ascii="Times New Roman" w:hAnsi="Times New Roman" w:eastAsia="標楷體" w:cs="標楷體"/>
            <w:webHidden/>
          </w:rPr>
          <w:fldChar w:fldCharType="end"/>
        </w:r>
      </w:hyperlink>
    </w:p>
    <w:p>
      <w:pPr>
        <w:pStyle w:val="TOC2"/>
      </w:pPr>
      <w:hyperlink w:anchor="_Toc10019" w:history="1">
        <w:r>
          <w:rPr>
            <w:rFonts w:ascii="Times New Roman" w:hAnsi="Times New Roman" w:eastAsia="標楷體" w:cs="標楷體"/>
          </w:rPr>
          <w:t>3.1 問題確認</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_Toc10019 \h </w:instrText>
        </w:r>
        <w:r>
          <w:rPr>
            <w:rFonts w:ascii="Times New Roman" w:hAnsi="Times New Roman" w:eastAsia="標楷體" w:cs="標楷體"/>
            <w:webHidden/>
          </w:rPr>
          <w:fldChar w:fldCharType="separate"/>
        </w:r>
        <w:r>
          <w:rPr>
            <w:rFonts w:ascii="Times New Roman" w:hAnsi="Times New Roman" w:eastAsia="標楷體" w:cs="標楷體"/>
            <w:webHidden/>
          </w:rPr>
          <w:t>20</w:t>
        </w:r>
        <w:r>
          <w:rPr>
            <w:rFonts w:ascii="Times New Roman" w:hAnsi="Times New Roman" w:eastAsia="標楷體" w:cs="標楷體"/>
            <w:webHidden/>
          </w:rPr>
          <w:fldChar w:fldCharType="end"/>
        </w:r>
      </w:hyperlink>
    </w:p>
    <w:p>
      <w:pPr>
        <w:pStyle w:val="TOC2"/>
      </w:pPr>
      <w:hyperlink w:anchor="_Toc10020" w:history="1">
        <w:r>
          <w:rPr>
            <w:rFonts w:ascii="Times New Roman" w:hAnsi="Times New Roman" w:eastAsia="標楷體" w:cs="標楷體"/>
          </w:rPr>
          <w:t>3.2 系統架構概覽</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_Toc10020 \h </w:instrText>
        </w:r>
        <w:r>
          <w:rPr>
            <w:rFonts w:ascii="Times New Roman" w:hAnsi="Times New Roman" w:eastAsia="標楷體" w:cs="標楷體"/>
            <w:webHidden/>
          </w:rPr>
          <w:fldChar w:fldCharType="separate"/>
        </w:r>
        <w:r>
          <w:rPr>
            <w:rFonts w:ascii="Times New Roman" w:hAnsi="Times New Roman" w:eastAsia="標楷體" w:cs="標楷體"/>
            <w:webHidden/>
          </w:rPr>
          <w:t>21</w:t>
        </w:r>
        <w:r>
          <w:rPr>
            <w:rFonts w:ascii="Times New Roman" w:hAnsi="Times New Roman" w:eastAsia="標楷體" w:cs="標楷體"/>
            <w:webHidden/>
          </w:rPr>
          <w:fldChar w:fldCharType="end"/>
        </w:r>
      </w:hyperlink>
    </w:p>
    <w:p>
      <w:pPr>
        <w:pStyle w:val="TOC2"/>
      </w:pPr>
      <w:hyperlink w:anchor="_Toc10021" w:history="1">
        <w:r>
          <w:rPr>
            <w:rFonts w:ascii="Times New Roman" w:hAnsi="Times New Roman" w:eastAsia="標楷體" w:cs="標楷體"/>
          </w:rPr>
          <w:t>3.3 技術環境與 設計科學研究法 步驟對應</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_Toc10021 \h </w:instrText>
        </w:r>
        <w:r>
          <w:rPr>
            <w:rFonts w:ascii="Times New Roman" w:hAnsi="Times New Roman" w:eastAsia="標楷體" w:cs="標楷體"/>
            <w:webHidden/>
          </w:rPr>
          <w:fldChar w:fldCharType="separate"/>
        </w:r>
        <w:r>
          <w:rPr>
            <w:rFonts w:ascii="Times New Roman" w:hAnsi="Times New Roman" w:eastAsia="標楷體" w:cs="標楷體"/>
            <w:webHidden/>
          </w:rPr>
          <w:t>22</w:t>
        </w:r>
        <w:r>
          <w:rPr>
            <w:rFonts w:ascii="Times New Roman" w:hAnsi="Times New Roman" w:eastAsia="標楷體" w:cs="標楷體"/>
            <w:webHidden/>
          </w:rPr>
          <w:fldChar w:fldCharType="end"/>
        </w:r>
      </w:hyperlink>
    </w:p>
    <w:p>
      <w:pPr>
        <w:pStyle w:val="TOC2"/>
      </w:pPr>
      <w:hyperlink w:anchor="_Toc10022" w:history="1">
        <w:r>
          <w:rPr>
            <w:rFonts w:ascii="Times New Roman" w:hAnsi="Times New Roman" w:eastAsia="標楷體" w:cs="標楷體"/>
          </w:rPr>
          <w:t>3.4 支柱一：影片量測引擎</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_Toc10022 \h </w:instrText>
        </w:r>
        <w:r>
          <w:rPr>
            <w:rFonts w:ascii="Times New Roman" w:hAnsi="Times New Roman" w:eastAsia="標楷體" w:cs="標楷體"/>
            <w:webHidden/>
          </w:rPr>
          <w:fldChar w:fldCharType="separate"/>
        </w:r>
        <w:r>
          <w:rPr>
            <w:rFonts w:ascii="Times New Roman" w:hAnsi="Times New Roman" w:eastAsia="標楷體" w:cs="標楷體"/>
            <w:webHidden/>
          </w:rPr>
          <w:t>23</w:t>
        </w:r>
        <w:r>
          <w:rPr>
            <w:rFonts w:ascii="Times New Roman" w:hAnsi="Times New Roman" w:eastAsia="標楷體" w:cs="標楷體"/>
            <w:webHidden/>
          </w:rPr>
          <w:fldChar w:fldCharType="end"/>
        </w:r>
      </w:hyperlink>
    </w:p>
    <w:p>
      <w:pPr>
        <w:pStyle w:val="TOC3"/>
      </w:pPr>
      <w:hyperlink w:anchor="_Toc10023" w:history="1">
        <w:r>
          <w:rPr>
            <w:rFonts w:ascii="Times New Roman" w:hAnsi="Times New Roman" w:eastAsia="標楷體" w:cs="標楷體"/>
          </w:rPr>
          <w:t>3.4.1 影片接收與幀擷取</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_Toc10023 \h </w:instrText>
        </w:r>
        <w:r>
          <w:rPr>
            <w:rFonts w:ascii="Times New Roman" w:hAnsi="Times New Roman" w:eastAsia="標楷體" w:cs="標楷體"/>
            <w:webHidden/>
          </w:rPr>
          <w:fldChar w:fldCharType="separate"/>
        </w:r>
        <w:r>
          <w:rPr>
            <w:rFonts w:ascii="Times New Roman" w:hAnsi="Times New Roman" w:eastAsia="標楷體" w:cs="標楷體"/>
            <w:webHidden/>
          </w:rPr>
          <w:t>24</w:t>
        </w:r>
        <w:r>
          <w:rPr>
            <w:rFonts w:ascii="Times New Roman" w:hAnsi="Times New Roman" w:eastAsia="標楷體" w:cs="標楷體"/>
            <w:webHidden/>
          </w:rPr>
          <w:fldChar w:fldCharType="end"/>
        </w:r>
      </w:hyperlink>
    </w:p>
    <w:p>
      <w:pPr>
        <w:pStyle w:val="TOC3"/>
      </w:pPr>
      <w:hyperlink w:anchor="_Toc10024" w:history="1">
        <w:r>
          <w:rPr>
            <w:rFonts w:ascii="Times New Roman" w:hAnsi="Times New Roman" w:eastAsia="標楷體" w:cs="標楷體"/>
          </w:rPr>
          <w:t>3.4.2 AI 視覺分析與胸高直徑計算</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_Toc10024 \h </w:instrText>
        </w:r>
        <w:r>
          <w:rPr>
            <w:rFonts w:ascii="Times New Roman" w:hAnsi="Times New Roman" w:eastAsia="標楷體" w:cs="標楷體"/>
            <w:webHidden/>
          </w:rPr>
          <w:fldChar w:fldCharType="separate"/>
        </w:r>
        <w:r>
          <w:rPr>
            <w:rFonts w:ascii="Times New Roman" w:hAnsi="Times New Roman" w:eastAsia="標楷體" w:cs="標楷體"/>
            <w:webHidden/>
          </w:rPr>
          <w:t>25</w:t>
        </w:r>
        <w:r>
          <w:rPr>
            <w:rFonts w:ascii="Times New Roman" w:hAnsi="Times New Roman" w:eastAsia="標楷體" w:cs="標楷體"/>
            <w:webHidden/>
          </w:rPr>
          <w:fldChar w:fldCharType="end"/>
        </w:r>
      </w:hyperlink>
    </w:p>
    <w:p>
      <w:pPr>
        <w:pStyle w:val="TOC3"/>
      </w:pPr>
      <w:hyperlink w:anchor="_Toc10025" w:history="1">
        <w:r>
          <w:rPr>
            <w:rFonts w:ascii="Times New Roman" w:hAnsi="Times New Roman" w:eastAsia="標楷體" w:cs="標楷體"/>
          </w:rPr>
          <w:t>3.4.2.1 設計理念：漸進降級（graceful degradation）</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_Toc10025 \h </w:instrText>
        </w:r>
        <w:r>
          <w:rPr>
            <w:rFonts w:ascii="Times New Roman" w:hAnsi="Times New Roman" w:eastAsia="標楷體" w:cs="標楷體"/>
            <w:webHidden/>
          </w:rPr>
          <w:fldChar w:fldCharType="separate"/>
        </w:r>
        <w:r>
          <w:rPr>
            <w:rFonts w:ascii="Times New Roman" w:hAnsi="Times New Roman" w:eastAsia="標楷體" w:cs="標楷體"/>
            <w:webHidden/>
          </w:rPr>
          <w:t>26</w:t>
        </w:r>
        <w:r>
          <w:rPr>
            <w:rFonts w:ascii="Times New Roman" w:hAnsi="Times New Roman" w:eastAsia="標楷體" w:cs="標楷體"/>
            <w:webHidden/>
          </w:rPr>
          <w:fldChar w:fldCharType="end"/>
        </w:r>
      </w:hyperlink>
    </w:p>
    <w:p>
      <w:pPr>
        <w:pStyle w:val="TOC3"/>
      </w:pPr>
      <w:hyperlink w:anchor="_Toc10026" w:history="1">
        <w:r>
          <w:rPr>
            <w:rFonts w:ascii="Times New Roman" w:hAnsi="Times New Roman" w:eastAsia="標楷體" w:cs="標楷體"/>
          </w:rPr>
          <w:t>3.4.2.2 群聚演算法：clusterByRelativeDiff</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_Toc10026 \h </w:instrText>
        </w:r>
        <w:r>
          <w:rPr>
            <w:rFonts w:ascii="Times New Roman" w:hAnsi="Times New Roman" w:eastAsia="標楷體" w:cs="標楷體"/>
            <w:webHidden/>
          </w:rPr>
          <w:fldChar w:fldCharType="separate"/>
        </w:r>
        <w:r>
          <w:rPr>
            <w:rFonts w:ascii="Times New Roman" w:hAnsi="Times New Roman" w:eastAsia="標楷體" w:cs="標楷體"/>
            <w:webHidden/>
          </w:rPr>
          <w:t>27</w:t>
        </w:r>
        <w:r>
          <w:rPr>
            <w:rFonts w:ascii="Times New Roman" w:hAnsi="Times New Roman" w:eastAsia="標楷體" w:cs="標楷體"/>
            <w:webHidden/>
          </w:rPr>
          <w:fldChar w:fldCharType="end"/>
        </w:r>
      </w:hyperlink>
    </w:p>
    <w:p>
      <w:pPr>
        <w:pStyle w:val="TOC3"/>
      </w:pPr>
      <w:hyperlink w:anchor="_Toc10027" w:history="1">
        <w:r>
          <w:rPr>
            <w:rFonts w:ascii="Times New Roman" w:hAnsi="Times New Roman" w:eastAsia="標楷體" w:cs="標楷體"/>
          </w:rPr>
          <w:t>3.4.3 樹種辨識與碳儲量計算</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_Toc10027 \h </w:instrText>
        </w:r>
        <w:r>
          <w:rPr>
            <w:rFonts w:ascii="Times New Roman" w:hAnsi="Times New Roman" w:eastAsia="標楷體" w:cs="標楷體"/>
            <w:webHidden/>
          </w:rPr>
          <w:fldChar w:fldCharType="separate"/>
        </w:r>
        <w:r>
          <w:rPr>
            <w:rFonts w:ascii="Times New Roman" w:hAnsi="Times New Roman" w:eastAsia="標楷體" w:cs="標楷體"/>
            <w:webHidden/>
          </w:rPr>
          <w:t>28</w:t>
        </w:r>
        <w:r>
          <w:rPr>
            <w:rFonts w:ascii="Times New Roman" w:hAnsi="Times New Roman" w:eastAsia="標楷體" w:cs="標楷體"/>
            <w:webHidden/>
          </w:rPr>
          <w:fldChar w:fldCharType="end"/>
        </w:r>
      </w:hyperlink>
    </w:p>
    <w:p>
      <w:pPr>
        <w:pStyle w:val="TOC2"/>
      </w:pPr>
      <w:hyperlink w:anchor="_Toc10028" w:history="1">
        <w:r>
          <w:rPr>
            <w:rFonts w:ascii="Times New Roman" w:hAnsi="Times New Roman" w:eastAsia="標楷體" w:cs="標楷體"/>
          </w:rPr>
          <w:t>3.5 支柱二：修正因子自演進帳本</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_Toc10028 \h </w:instrText>
        </w:r>
        <w:r>
          <w:rPr>
            <w:rFonts w:ascii="Times New Roman" w:hAnsi="Times New Roman" w:eastAsia="標楷體" w:cs="標楷體"/>
            <w:webHidden/>
          </w:rPr>
          <w:fldChar w:fldCharType="separate"/>
        </w:r>
        <w:r>
          <w:rPr>
            <w:rFonts w:ascii="Times New Roman" w:hAnsi="Times New Roman" w:eastAsia="標楷體" w:cs="標楷體"/>
            <w:webHidden/>
          </w:rPr>
          <w:t>29</w:t>
        </w:r>
        <w:r>
          <w:rPr>
            <w:rFonts w:ascii="Times New Roman" w:hAnsi="Times New Roman" w:eastAsia="標楷體" w:cs="標楷體"/>
            <w:webHidden/>
          </w:rPr>
          <w:fldChar w:fldCharType="end"/>
        </w:r>
      </w:hyperlink>
    </w:p>
    <w:p>
      <w:pPr>
        <w:pStyle w:val="TOC3"/>
      </w:pPr>
      <w:hyperlink w:anchor="_Toc10029" w:history="1">
        <w:r>
          <w:rPr>
            <w:rFonts w:ascii="Times New Roman" w:hAnsi="Times New Roman" w:eastAsia="標楷體" w:cs="標楷體"/>
          </w:rPr>
          <w:t>3.5.1 地面實況資料收集</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_Toc10029 \h </w:instrText>
        </w:r>
        <w:r>
          <w:rPr>
            <w:rFonts w:ascii="Times New Roman" w:hAnsi="Times New Roman" w:eastAsia="標楷體" w:cs="標楷體"/>
            <w:webHidden/>
          </w:rPr>
          <w:fldChar w:fldCharType="separate"/>
        </w:r>
        <w:r>
          <w:rPr>
            <w:rFonts w:ascii="Times New Roman" w:hAnsi="Times New Roman" w:eastAsia="標楷體" w:cs="標楷體"/>
            <w:webHidden/>
          </w:rPr>
          <w:t>30</w:t>
        </w:r>
        <w:r>
          <w:rPr>
            <w:rFonts w:ascii="Times New Roman" w:hAnsi="Times New Roman" w:eastAsia="標楷體" w:cs="標楷體"/>
            <w:webHidden/>
          </w:rPr>
          <w:fldChar w:fldCharType="end"/>
        </w:r>
      </w:hyperlink>
    </w:p>
    <w:p>
      <w:pPr>
        <w:pStyle w:val="TOC3"/>
      </w:pPr>
      <w:hyperlink w:anchor="_Toc10030" w:history="1">
        <w:r>
          <w:rPr>
            <w:rFonts w:ascii="Times New Roman" w:hAnsi="Times New Roman" w:eastAsia="標楷體" w:cs="標楷體"/>
          </w:rPr>
          <w:t>3.5.2 加權修正因子計算與快照機制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_Toc10030 \h </w:instrText>
        </w:r>
        <w:r>
          <w:rPr>
            <w:rFonts w:ascii="Times New Roman" w:hAnsi="Times New Roman" w:eastAsia="標楷體" w:cs="標楷體"/>
            <w:webHidden/>
          </w:rPr>
          <w:fldChar w:fldCharType="separate"/>
        </w:r>
        <w:r>
          <w:rPr>
            <w:rFonts w:ascii="Times New Roman" w:hAnsi="Times New Roman" w:eastAsia="標楷體" w:cs="標楷體"/>
            <w:webHidden/>
          </w:rPr>
          <w:t>31</w:t>
        </w:r>
        <w:r>
          <w:rPr>
            <w:rFonts w:ascii="Times New Roman" w:hAnsi="Times New Roman" w:eastAsia="標楷體" w:cs="標楷體"/>
            <w:webHidden/>
          </w:rPr>
          <w:fldChar w:fldCharType="end"/>
        </w:r>
      </w:hyperlink>
    </w:p>
    <w:p>
      <w:pPr>
        <w:pStyle w:val="TOC2"/>
      </w:pPr>
      <w:hyperlink w:anchor="_Toc10031" w:history="1">
        <w:r>
          <w:rPr>
            <w:rFonts w:ascii="Times New Roman" w:hAnsi="Times New Roman" w:eastAsia="標楷體" w:cs="標楷體"/>
          </w:rPr>
          <w:t>3.6 支柱三：區塊鏈存證</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_Toc10031 \h </w:instrText>
        </w:r>
        <w:r>
          <w:rPr>
            <w:rFonts w:ascii="Times New Roman" w:hAnsi="Times New Roman" w:eastAsia="標楷體" w:cs="標楷體"/>
            <w:webHidden/>
          </w:rPr>
          <w:fldChar w:fldCharType="separate"/>
        </w:r>
        <w:r>
          <w:rPr>
            <w:rFonts w:ascii="Times New Roman" w:hAnsi="Times New Roman" w:eastAsia="標楷體" w:cs="標楷體"/>
            <w:webHidden/>
          </w:rPr>
          <w:t>32</w:t>
        </w:r>
        <w:r>
          <w:rPr>
            <w:rFonts w:ascii="Times New Roman" w:hAnsi="Times New Roman" w:eastAsia="標楷體" w:cs="標楷體"/>
            <w:webHidden/>
          </w:rPr>
          <w:fldChar w:fldCharType="end"/>
        </w:r>
      </w:hyperlink>
    </w:p>
    <w:p>
      <w:pPr>
        <w:pStyle w:val="TOC3"/>
      </w:pPr>
      <w:hyperlink w:anchor="_Toc10032" w:history="1">
        <w:r>
          <w:rPr>
            <w:rFonts w:ascii="Times New Roman" w:hAnsi="Times New Roman" w:eastAsia="標楷體" w:cs="標楷體"/>
          </w:rPr>
          <w:t>3.6.1 CarbonCredit.sol 智能合約設計</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_Toc10032 \h </w:instrText>
        </w:r>
        <w:r>
          <w:rPr>
            <w:rFonts w:ascii="Times New Roman" w:hAnsi="Times New Roman" w:eastAsia="標楷體" w:cs="標楷體"/>
            <w:webHidden/>
          </w:rPr>
          <w:fldChar w:fldCharType="separate"/>
        </w:r>
        <w:r>
          <w:rPr>
            <w:rFonts w:ascii="Times New Roman" w:hAnsi="Times New Roman" w:eastAsia="標楷體" w:cs="標楷體"/>
            <w:webHidden/>
          </w:rPr>
          <w:t>33</w:t>
        </w:r>
        <w:r>
          <w:rPr>
            <w:rFonts w:ascii="Times New Roman" w:hAnsi="Times New Roman" w:eastAsia="標楷體" w:cs="標楷體"/>
            <w:webHidden/>
          </w:rPr>
          <w:fldChar w:fldCharType="end"/>
        </w:r>
      </w:hyperlink>
    </w:p>
    <w:p>
      <w:pPr>
        <w:pStyle w:val="TOC3"/>
      </w:pPr>
      <w:hyperlink w:anchor="_Toc10033" w:history="1">
        <w:r>
          <w:rPr>
            <w:rFonts w:ascii="Times New Roman" w:hAnsi="Times New Roman" w:eastAsia="標楷體" w:cs="標楷體"/>
          </w:rPr>
          <w:t>3.6.2 上鏈流程與失敗重試機制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_Toc10033 \h </w:instrText>
        </w:r>
        <w:r>
          <w:rPr>
            <w:rFonts w:ascii="Times New Roman" w:hAnsi="Times New Roman" w:eastAsia="標楷體" w:cs="標楷體"/>
            <w:webHidden/>
          </w:rPr>
          <w:fldChar w:fldCharType="separate"/>
        </w:r>
        <w:r>
          <w:rPr>
            <w:rFonts w:ascii="Times New Roman" w:hAnsi="Times New Roman" w:eastAsia="標楷體" w:cs="標楷體"/>
            <w:webHidden/>
          </w:rPr>
          <w:t>34</w:t>
        </w:r>
        <w:r>
          <w:rPr>
            <w:rFonts w:ascii="Times New Roman" w:hAnsi="Times New Roman" w:eastAsia="標楷體" w:cs="標楷體"/>
            <w:webHidden/>
          </w:rPr>
          <w:fldChar w:fldCharType="end"/>
        </w:r>
      </w:hyperlink>
    </w:p>
    <w:p>
      <w:pPr>
        <w:pStyle w:val="TOC3"/>
      </w:pPr>
      <w:hyperlink w:anchor="_Toc10034" w:history="1">
        <w:r>
          <w:rPr>
            <w:rFonts w:ascii="Times New Roman" w:hAnsi="Times New Roman" w:eastAsia="標楷體" w:cs="標楷體"/>
          </w:rPr>
          <w:t>3.6.3 Hyperledger Besu 技術配置</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_Toc10034 \h </w:instrText>
        </w:r>
        <w:r>
          <w:rPr>
            <w:rFonts w:ascii="Times New Roman" w:hAnsi="Times New Roman" w:eastAsia="標楷體" w:cs="標楷體"/>
            <w:webHidden/>
          </w:rPr>
          <w:fldChar w:fldCharType="separate"/>
        </w:r>
        <w:r>
          <w:rPr>
            <w:rFonts w:ascii="Times New Roman" w:hAnsi="Times New Roman" w:eastAsia="標楷體" w:cs="標楷體"/>
            <w:webHidden/>
          </w:rPr>
          <w:t>35</w:t>
        </w:r>
        <w:r>
          <w:rPr>
            <w:rFonts w:ascii="Times New Roman" w:hAnsi="Times New Roman" w:eastAsia="標楷體" w:cs="標楷體"/>
            <w:webHidden/>
          </w:rPr>
          <w:fldChar w:fldCharType="end"/>
        </w:r>
      </w:hyperlink>
    </w:p>
    <w:p>
      <w:pPr>
        <w:pStyle w:val="TOC3"/>
      </w:pPr>
      <w:hyperlink w:anchor="_Toc10035" w:history="1">
        <w:r>
          <w:rPr>
            <w:rFonts w:ascii="Times New Roman" w:hAnsi="Times New Roman" w:eastAsia="標楷體" w:cs="標楷體"/>
          </w:rPr>
          <w:t>3.6.4 應用程式介面 服務部署與守護</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_Toc10035 \h </w:instrText>
        </w:r>
        <w:r>
          <w:rPr>
            <w:rFonts w:ascii="Times New Roman" w:hAnsi="Times New Roman" w:eastAsia="標楷體" w:cs="標楷體"/>
            <w:webHidden/>
          </w:rPr>
          <w:fldChar w:fldCharType="separate"/>
        </w:r>
        <w:r>
          <w:rPr>
            <w:rFonts w:ascii="Times New Roman" w:hAnsi="Times New Roman" w:eastAsia="標楷體" w:cs="標楷體"/>
            <w:webHidden/>
          </w:rPr>
          <w:t>36</w:t>
        </w:r>
        <w:r>
          <w:rPr>
            <w:rFonts w:ascii="Times New Roman" w:hAnsi="Times New Roman" w:eastAsia="標楷體" w:cs="標楷體"/>
            <w:webHidden/>
          </w:rPr>
          <w:fldChar w:fldCharType="end"/>
        </w:r>
      </w:hyperlink>
    </w:p>
    <w:p>
      <w:pPr>
        <w:pStyle w:val="TOC2"/>
      </w:pPr>
      <w:hyperlink w:anchor="_Toc10036" w:history="1">
        <w:r>
          <w:rPr>
            <w:rFonts w:ascii="Times New Roman" w:hAnsi="Times New Roman" w:eastAsia="標楷體" w:cs="標楷體"/>
          </w:rPr>
          <w:t>3.7 資料模型設計</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_Toc10036 \h </w:instrText>
        </w:r>
        <w:r>
          <w:rPr>
            <w:rFonts w:ascii="Times New Roman" w:hAnsi="Times New Roman" w:eastAsia="標楷體" w:cs="標楷體"/>
            <w:webHidden/>
          </w:rPr>
          <w:fldChar w:fldCharType="separate"/>
        </w:r>
        <w:r>
          <w:rPr>
            <w:rFonts w:ascii="Times New Roman" w:hAnsi="Times New Roman" w:eastAsia="標楷體" w:cs="標楷體"/>
            <w:webHidden/>
          </w:rPr>
          <w:t>37</w:t>
        </w:r>
        <w:r>
          <w:rPr>
            <w:rFonts w:ascii="Times New Roman" w:hAnsi="Times New Roman" w:eastAsia="標楷體" w:cs="標楷體"/>
            <w:webHidden/>
          </w:rPr>
          <w:fldChar w:fldCharType="end"/>
        </w:r>
      </w:hyperlink>
    </w:p>
    <w:p>
      <w:pPr>
        <w:pStyle w:val="TOC2"/>
      </w:pPr>
      <w:hyperlink w:anchor="_Toc10037" w:history="1">
        <w:r>
          <w:rPr>
            <w:rFonts w:ascii="Times New Roman" w:hAnsi="Times New Roman" w:eastAsia="標楷體" w:cs="標楷體"/>
          </w:rPr>
          <w:t>3.8 應用程式介面 端點設計</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_Toc10037 \h </w:instrText>
        </w:r>
        <w:r>
          <w:rPr>
            <w:rFonts w:ascii="Times New Roman" w:hAnsi="Times New Roman" w:eastAsia="標楷體" w:cs="標楷體"/>
            <w:webHidden/>
          </w:rPr>
          <w:fldChar w:fldCharType="separate"/>
        </w:r>
        <w:r>
          <w:rPr>
            <w:rFonts w:ascii="Times New Roman" w:hAnsi="Times New Roman" w:eastAsia="標楷體" w:cs="標楷體"/>
            <w:webHidden/>
          </w:rPr>
          <w:t>38</w:t>
        </w:r>
        <w:r>
          <w:rPr>
            <w:rFonts w:ascii="Times New Roman" w:hAnsi="Times New Roman" w:eastAsia="標楷體" w:cs="標楷體"/>
            <w:webHidden/>
          </w:rPr>
          <w:fldChar w:fldCharType="end"/>
        </w:r>
      </w:hyperlink>
    </w:p>
    <w:p>
      <w:pPr>
        <w:pStyle w:val="TOC2"/>
      </w:pPr>
      <w:hyperlink w:anchor="_Toc10038" w:history="1">
        <w:r>
          <w:rPr>
            <w:rFonts w:ascii="Times New Roman" w:hAnsi="Times New Roman" w:eastAsia="標楷體" w:cs="標楷體"/>
          </w:rPr>
          <w:t>3.9 研究評估輸出引擎</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_Toc10038 \h </w:instrText>
        </w:r>
        <w:r>
          <w:rPr>
            <w:rFonts w:ascii="Times New Roman" w:hAnsi="Times New Roman" w:eastAsia="標楷體" w:cs="標楷體"/>
            <w:webHidden/>
          </w:rPr>
          <w:fldChar w:fldCharType="separate"/>
        </w:r>
        <w:r>
          <w:rPr>
            <w:rFonts w:ascii="Times New Roman" w:hAnsi="Times New Roman" w:eastAsia="標楷體" w:cs="標楷體"/>
            <w:webHidden/>
          </w:rPr>
          <w:t>39</w:t>
        </w:r>
        <w:r>
          <w:rPr>
            <w:rFonts w:ascii="Times New Roman" w:hAnsi="Times New Roman" w:eastAsia="標楷體" w:cs="標楷體"/>
            <w:webHidden/>
          </w:rPr>
          <w:fldChar w:fldCharType="end"/>
        </w:r>
      </w:hyperlink>
    </w:p>
    <w:p>
      <w:pPr>
        <w:pStyle w:val="TOC1"/>
      </w:pPr>
      <w:hyperlink w:anchor="_Toc10039" w:history="1">
        <w:r>
          <w:rPr>
            <w:rFonts w:ascii="Times New Roman" w:hAnsi="Times New Roman" w:eastAsia="標楷體" w:cs="標楷體"/>
          </w:rPr>
          <w:t>第四章 解決方案展示與評估</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_Toc10039 \h </w:instrText>
        </w:r>
        <w:r>
          <w:rPr>
            <w:rFonts w:ascii="Times New Roman" w:hAnsi="Times New Roman" w:eastAsia="標楷體" w:cs="標楷體"/>
            <w:webHidden/>
          </w:rPr>
          <w:fldChar w:fldCharType="separate"/>
        </w:r>
        <w:r>
          <w:rPr>
            <w:rFonts w:ascii="Times New Roman" w:hAnsi="Times New Roman" w:eastAsia="標楷體" w:cs="標楷體"/>
            <w:webHidden/>
          </w:rPr>
          <w:t>40</w:t>
        </w:r>
        <w:r>
          <w:rPr>
            <w:rFonts w:ascii="Times New Roman" w:hAnsi="Times New Roman" w:eastAsia="標楷體" w:cs="標楷體"/>
            <w:webHidden/>
          </w:rPr>
          <w:fldChar w:fldCharType="end"/>
        </w:r>
      </w:hyperlink>
    </w:p>
    <w:p>
      <w:pPr>
        <w:pStyle w:val="TOC2"/>
      </w:pPr>
      <w:hyperlink w:anchor="_Toc10040" w:history="1">
        <w:r>
          <w:rPr>
            <w:rFonts w:ascii="Times New Roman" w:hAnsi="Times New Roman" w:eastAsia="標楷體" w:cs="標楷體"/>
          </w:rPr>
          <w:t>4.1 實驗設計與田野量測</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_Toc10040 \h </w:instrText>
        </w:r>
        <w:r>
          <w:rPr>
            <w:rFonts w:ascii="Times New Roman" w:hAnsi="Times New Roman" w:eastAsia="標楷體" w:cs="標楷體"/>
            <w:webHidden/>
          </w:rPr>
          <w:fldChar w:fldCharType="separate"/>
        </w:r>
        <w:r>
          <w:rPr>
            <w:rFonts w:ascii="Times New Roman" w:hAnsi="Times New Roman" w:eastAsia="標楷體" w:cs="標楷體"/>
            <w:webHidden/>
          </w:rPr>
          <w:t>41</w:t>
        </w:r>
        <w:r>
          <w:rPr>
            <w:rFonts w:ascii="Times New Roman" w:hAnsi="Times New Roman" w:eastAsia="標楷體" w:cs="標楷體"/>
            <w:webHidden/>
          </w:rPr>
          <w:fldChar w:fldCharType="end"/>
        </w:r>
      </w:hyperlink>
    </w:p>
    <w:p>
      <w:pPr>
        <w:pStyle w:val="TOC2"/>
      </w:pPr>
      <w:hyperlink w:anchor="_Toc10041" w:history="1">
        <w:r>
          <w:rPr>
            <w:rFonts w:ascii="Times New Roman" w:hAnsi="Times New Roman" w:eastAsia="標楷體" w:cs="標楷體"/>
          </w:rPr>
          <w:t>4.2 影片 DBH 估算精度評估</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_Toc10041 \h </w:instrText>
        </w:r>
        <w:r>
          <w:rPr>
            <w:rFonts w:ascii="Times New Roman" w:hAnsi="Times New Roman" w:eastAsia="標楷體" w:cs="標楷體"/>
            <w:webHidden/>
          </w:rPr>
          <w:fldChar w:fldCharType="separate"/>
        </w:r>
        <w:r>
          <w:rPr>
            <w:rFonts w:ascii="Times New Roman" w:hAnsi="Times New Roman" w:eastAsia="標楷體" w:cs="標楷體"/>
            <w:webHidden/>
          </w:rPr>
          <w:t>42</w:t>
        </w:r>
        <w:r>
          <w:rPr>
            <w:rFonts w:ascii="Times New Roman" w:hAnsi="Times New Roman" w:eastAsia="標楷體" w:cs="標楷體"/>
            <w:webHidden/>
          </w:rPr>
          <w:fldChar w:fldCharType="end"/>
        </w:r>
      </w:hyperlink>
    </w:p>
    <w:p>
      <w:pPr>
        <w:pStyle w:val="TOC2"/>
      </w:pPr>
      <w:hyperlink w:anchor="_Toc10042" w:history="1">
        <w:r>
          <w:rPr>
            <w:rFonts w:ascii="Times New Roman" w:hAnsi="Times New Roman" w:eastAsia="標楷體" w:cs="標楷體"/>
          </w:rPr>
          <w:t>4.3 修正因子自演進評估</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_Toc10042 \h </w:instrText>
        </w:r>
        <w:r>
          <w:rPr>
            <w:rFonts w:ascii="Times New Roman" w:hAnsi="Times New Roman" w:eastAsia="標楷體" w:cs="標楷體"/>
            <w:webHidden/>
          </w:rPr>
          <w:fldChar w:fldCharType="separate"/>
        </w:r>
        <w:r>
          <w:rPr>
            <w:rFonts w:ascii="Times New Roman" w:hAnsi="Times New Roman" w:eastAsia="標楷體" w:cs="標楷體"/>
            <w:webHidden/>
          </w:rPr>
          <w:t>43</w:t>
        </w:r>
        <w:r>
          <w:rPr>
            <w:rFonts w:ascii="Times New Roman" w:hAnsi="Times New Roman" w:eastAsia="標楷體" w:cs="標楷體"/>
            <w:webHidden/>
          </w:rPr>
          <w:fldChar w:fldCharType="end"/>
        </w:r>
      </w:hyperlink>
    </w:p>
    <w:p>
      <w:pPr>
        <w:pStyle w:val="TOC2"/>
      </w:pPr>
      <w:hyperlink w:anchor="_Toc10043" w:history="1">
        <w:r>
          <w:rPr>
            <w:rFonts w:ascii="Times New Roman" w:hAnsi="Times New Roman" w:eastAsia="標楷體" w:cs="標楷體"/>
          </w:rPr>
          <w:t>4.4 區塊鏈完整性評估</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_Toc10043 \h </w:instrText>
        </w:r>
        <w:r>
          <w:rPr>
            <w:rFonts w:ascii="Times New Roman" w:hAnsi="Times New Roman" w:eastAsia="標楷體" w:cs="標楷體"/>
            <w:webHidden/>
          </w:rPr>
          <w:fldChar w:fldCharType="separate"/>
        </w:r>
        <w:r>
          <w:rPr>
            <w:rFonts w:ascii="Times New Roman" w:hAnsi="Times New Roman" w:eastAsia="標楷體" w:cs="標楷體"/>
            <w:webHidden/>
          </w:rPr>
          <w:t>44</w:t>
        </w:r>
        <w:r>
          <w:rPr>
            <w:rFonts w:ascii="Times New Roman" w:hAnsi="Times New Roman" w:eastAsia="標楷體" w:cs="標楷體"/>
            <w:webHidden/>
          </w:rPr>
          <w:fldChar w:fldCharType="end"/>
        </w:r>
      </w:hyperlink>
    </w:p>
    <w:p>
      <w:pPr>
        <w:pStyle w:val="TOC2"/>
      </w:pPr>
      <w:hyperlink w:anchor="_Toc10044" w:history="1">
        <w:r>
          <w:rPr>
            <w:rFonts w:ascii="Times New Roman" w:hAnsi="Times New Roman" w:eastAsia="標楷體" w:cs="標楷體"/>
          </w:rPr>
          <w:t>4.5 Hevner 七項準則符合度分析</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_Toc10044 \h </w:instrText>
        </w:r>
        <w:r>
          <w:rPr>
            <w:rFonts w:ascii="Times New Roman" w:hAnsi="Times New Roman" w:eastAsia="標楷體" w:cs="標楷體"/>
            <w:webHidden/>
          </w:rPr>
          <w:fldChar w:fldCharType="separate"/>
        </w:r>
        <w:r>
          <w:rPr>
            <w:rFonts w:ascii="Times New Roman" w:hAnsi="Times New Roman" w:eastAsia="標楷體" w:cs="標楷體"/>
            <w:webHidden/>
          </w:rPr>
          <w:t>45</w:t>
        </w:r>
        <w:r>
          <w:rPr>
            <w:rFonts w:ascii="Times New Roman" w:hAnsi="Times New Roman" w:eastAsia="標楷體" w:cs="標楷體"/>
            <w:webHidden/>
          </w:rPr>
          <w:fldChar w:fldCharType="end"/>
        </w:r>
      </w:hyperlink>
    </w:p>
    <w:p>
      <w:pPr>
        <w:pStyle w:val="TOC2"/>
      </w:pPr>
      <w:hyperlink w:anchor="_Toc10045" w:history="1">
        <w:r>
          <w:rPr>
            <w:rFonts w:ascii="Times New Roman" w:hAnsi="Times New Roman" w:eastAsia="標楷體" w:cs="標楷體"/>
          </w:rPr>
          <w:t>4.6 精度分層與成本效益分析</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_Toc10045 \h </w:instrText>
        </w:r>
        <w:r>
          <w:rPr>
            <w:rFonts w:ascii="Times New Roman" w:hAnsi="Times New Roman" w:eastAsia="標楷體" w:cs="標楷體"/>
            <w:webHidden/>
          </w:rPr>
          <w:fldChar w:fldCharType="separate"/>
        </w:r>
        <w:r>
          <w:rPr>
            <w:rFonts w:ascii="Times New Roman" w:hAnsi="Times New Roman" w:eastAsia="標楷體" w:cs="標楷體"/>
            <w:webHidden/>
          </w:rPr>
          <w:t>46</w:t>
        </w:r>
        <w:r>
          <w:rPr>
            <w:rFonts w:ascii="Times New Roman" w:hAnsi="Times New Roman" w:eastAsia="標楷體" w:cs="標楷體"/>
            <w:webHidden/>
          </w:rPr>
          <w:fldChar w:fldCharType="end"/>
        </w:r>
      </w:hyperlink>
    </w:p>
    <w:p>
      <w:pPr>
        <w:pStyle w:val="TOC3"/>
      </w:pPr>
      <w:hyperlink w:anchor="_Toc10046" w:history="1">
        <w:r>
          <w:rPr>
            <w:rFonts w:ascii="Times New Roman" w:hAnsi="Times New Roman" w:eastAsia="標楷體" w:cs="標楷體"/>
          </w:rPr>
          <w:t>4.6.1 尺寸分層精度分析</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_Toc10046 \h </w:instrText>
        </w:r>
        <w:r>
          <w:rPr>
            <w:rFonts w:ascii="Times New Roman" w:hAnsi="Times New Roman" w:eastAsia="標楷體" w:cs="標楷體"/>
            <w:webHidden/>
          </w:rPr>
          <w:fldChar w:fldCharType="separate"/>
        </w:r>
        <w:r>
          <w:rPr>
            <w:rFonts w:ascii="Times New Roman" w:hAnsi="Times New Roman" w:eastAsia="標楷體" w:cs="標楷體"/>
            <w:webHidden/>
          </w:rPr>
          <w:t>47</w:t>
        </w:r>
        <w:r>
          <w:rPr>
            <w:rFonts w:ascii="Times New Roman" w:hAnsi="Times New Roman" w:eastAsia="標楷體" w:cs="標楷體"/>
            <w:webHidden/>
          </w:rPr>
          <w:fldChar w:fldCharType="end"/>
        </w:r>
      </w:hyperlink>
    </w:p>
    <w:p>
      <w:pPr>
        <w:pStyle w:val="TOC3"/>
      </w:pPr>
      <w:hyperlink w:anchor="_Toc10047" w:history="1">
        <w:r>
          <w:rPr>
            <w:rFonts w:ascii="Times New Roman" w:hAnsi="Times New Roman" w:eastAsia="標楷體" w:cs="標楷體"/>
          </w:rPr>
          <w:t>4.6.2 校準因子敏感度分析</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_Toc10047 \h </w:instrText>
        </w:r>
        <w:r>
          <w:rPr>
            <w:rFonts w:ascii="Times New Roman" w:hAnsi="Times New Roman" w:eastAsia="標楷體" w:cs="標楷體"/>
            <w:webHidden/>
          </w:rPr>
          <w:fldChar w:fldCharType="separate"/>
        </w:r>
        <w:r>
          <w:rPr>
            <w:rFonts w:ascii="Times New Roman" w:hAnsi="Times New Roman" w:eastAsia="標楷體" w:cs="標楷體"/>
            <w:webHidden/>
          </w:rPr>
          <w:t>48</w:t>
        </w:r>
        <w:r>
          <w:rPr>
            <w:rFonts w:ascii="Times New Roman" w:hAnsi="Times New Roman" w:eastAsia="標楷體" w:cs="標楷體"/>
            <w:webHidden/>
          </w:rPr>
          <w:fldChar w:fldCharType="end"/>
        </w:r>
      </w:hyperlink>
    </w:p>
    <w:p>
      <w:pPr>
        <w:pStyle w:val="TOC3"/>
      </w:pPr>
      <w:hyperlink w:anchor="_Toc10048" w:history="1">
        <w:r>
          <w:rPr>
            <w:rFonts w:ascii="Times New Roman" w:hAnsi="Times New Roman" w:eastAsia="標楷體" w:cs="標楷體"/>
          </w:rPr>
          <w:t>4.6.3 成本效益分析</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_Toc10048 \h </w:instrText>
        </w:r>
        <w:r>
          <w:rPr>
            <w:rFonts w:ascii="Times New Roman" w:hAnsi="Times New Roman" w:eastAsia="標楷體" w:cs="標楷體"/>
            <w:webHidden/>
          </w:rPr>
          <w:fldChar w:fldCharType="separate"/>
        </w:r>
        <w:r>
          <w:rPr>
            <w:rFonts w:ascii="Times New Roman" w:hAnsi="Times New Roman" w:eastAsia="標楷體" w:cs="標楷體"/>
            <w:webHidden/>
          </w:rPr>
          <w:t>49</w:t>
        </w:r>
        <w:r>
          <w:rPr>
            <w:rFonts w:ascii="Times New Roman" w:hAnsi="Times New Roman" w:eastAsia="標楷體" w:cs="標楷體"/>
            <w:webHidden/>
          </w:rPr>
          <w:fldChar w:fldCharType="end"/>
        </w:r>
      </w:hyperlink>
    </w:p>
    <w:p>
      <w:pPr>
        <w:pStyle w:val="TOC2"/>
      </w:pPr>
      <w:hyperlink w:anchor="_Toc10049" w:history="1">
        <w:r>
          <w:rPr>
            <w:rFonts w:ascii="Times New Roman" w:hAnsi="Times New Roman" w:eastAsia="標楷體" w:cs="標楷體"/>
          </w:rPr>
          <w:t>4.7 綜合評估討論</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_Toc10049 \h </w:instrText>
        </w:r>
        <w:r>
          <w:rPr>
            <w:rFonts w:ascii="Times New Roman" w:hAnsi="Times New Roman" w:eastAsia="標楷體" w:cs="標楷體"/>
            <w:webHidden/>
          </w:rPr>
          <w:fldChar w:fldCharType="separate"/>
        </w:r>
        <w:r>
          <w:rPr>
            <w:rFonts w:ascii="Times New Roman" w:hAnsi="Times New Roman" w:eastAsia="標楷體" w:cs="標楷體"/>
            <w:webHidden/>
          </w:rPr>
          <w:t>50</w:t>
        </w:r>
        <w:r>
          <w:rPr>
            <w:rFonts w:ascii="Times New Roman" w:hAnsi="Times New Roman" w:eastAsia="標楷體" w:cs="標楷體"/>
            <w:webHidden/>
          </w:rPr>
          <w:fldChar w:fldCharType="end"/>
        </w:r>
      </w:hyperlink>
    </w:p>
    <w:p>
      <w:pPr>
        <w:pStyle w:val="TOC1"/>
      </w:pPr>
      <w:hyperlink w:anchor="_Toc10050" w:history="1">
        <w:r>
          <w:rPr>
            <w:rFonts w:ascii="Times New Roman" w:hAnsi="Times New Roman" w:eastAsia="標楷體" w:cs="標楷體"/>
          </w:rPr>
          <w:t>第五章　結論與未來發展</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_Toc10050 \h </w:instrText>
        </w:r>
        <w:r>
          <w:rPr>
            <w:rFonts w:ascii="Times New Roman" w:hAnsi="Times New Roman" w:eastAsia="標楷體" w:cs="標楷體"/>
            <w:webHidden/>
          </w:rPr>
          <w:fldChar w:fldCharType="separate"/>
        </w:r>
        <w:r>
          <w:rPr>
            <w:rFonts w:ascii="Times New Roman" w:hAnsi="Times New Roman" w:eastAsia="標楷體" w:cs="標楷體"/>
            <w:webHidden/>
          </w:rPr>
          <w:t>51</w:t>
        </w:r>
        <w:r>
          <w:rPr>
            <w:rFonts w:ascii="Times New Roman" w:hAnsi="Times New Roman" w:eastAsia="標楷體" w:cs="標楷體"/>
            <w:webHidden/>
          </w:rPr>
          <w:fldChar w:fldCharType="end"/>
        </w:r>
      </w:hyperlink>
    </w:p>
    <w:p>
      <w:pPr>
        <w:pStyle w:val="TOC2"/>
      </w:pPr>
      <w:hyperlink w:anchor="_Toc10051" w:history="1">
        <w:r>
          <w:rPr>
            <w:rFonts w:ascii="Times New Roman" w:hAnsi="Times New Roman" w:eastAsia="標楷體" w:cs="標楷體"/>
          </w:rPr>
          <w:t>5.1　研究成果：三大研究問題回答</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_Toc10051 \h </w:instrText>
        </w:r>
        <w:r>
          <w:rPr>
            <w:rFonts w:ascii="Times New Roman" w:hAnsi="Times New Roman" w:eastAsia="標楷體" w:cs="標楷體"/>
            <w:webHidden/>
          </w:rPr>
          <w:fldChar w:fldCharType="separate"/>
        </w:r>
        <w:r>
          <w:rPr>
            <w:rFonts w:ascii="Times New Roman" w:hAnsi="Times New Roman" w:eastAsia="標楷體" w:cs="標楷體"/>
            <w:webHidden/>
          </w:rPr>
          <w:t>52</w:t>
        </w:r>
        <w:r>
          <w:rPr>
            <w:rFonts w:ascii="Times New Roman" w:hAnsi="Times New Roman" w:eastAsia="標楷體" w:cs="標楷體"/>
            <w:webHidden/>
          </w:rPr>
          <w:fldChar w:fldCharType="end"/>
        </w:r>
      </w:hyperlink>
    </w:p>
    <w:p>
      <w:pPr>
        <w:pStyle w:val="TOC2"/>
      </w:pPr>
      <w:hyperlink w:anchor="_Toc10052" w:history="1">
        <w:r>
          <w:rPr>
            <w:rFonts w:ascii="Times New Roman" w:hAnsi="Times New Roman" w:eastAsia="標楷體" w:cs="標楷體"/>
          </w:rPr>
          <w:t>5.2　政策建議</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_Toc10052 \h </w:instrText>
        </w:r>
        <w:r>
          <w:rPr>
            <w:rFonts w:ascii="Times New Roman" w:hAnsi="Times New Roman" w:eastAsia="標楷體" w:cs="標楷體"/>
            <w:webHidden/>
          </w:rPr>
          <w:fldChar w:fldCharType="separate"/>
        </w:r>
        <w:r>
          <w:rPr>
            <w:rFonts w:ascii="Times New Roman" w:hAnsi="Times New Roman" w:eastAsia="標楷體" w:cs="標楷體"/>
            <w:webHidden/>
          </w:rPr>
          <w:t>53</w:t>
        </w:r>
        <w:r>
          <w:rPr>
            <w:rFonts w:ascii="Times New Roman" w:hAnsi="Times New Roman" w:eastAsia="標楷體" w:cs="標楷體"/>
            <w:webHidden/>
          </w:rPr>
          <w:fldChar w:fldCharType="end"/>
        </w:r>
      </w:hyperlink>
    </w:p>
    <w:p>
      <w:pPr>
        <w:pStyle w:val="TOC2"/>
      </w:pPr>
      <w:hyperlink w:anchor="_Toc10053" w:history="1">
        <w:r>
          <w:rPr>
            <w:rFonts w:ascii="Times New Roman" w:hAnsi="Times New Roman" w:eastAsia="標楷體" w:cs="標楷體"/>
          </w:rPr>
          <w:t>5.3　研究貢獻</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_Toc10053 \h </w:instrText>
        </w:r>
        <w:r>
          <w:rPr>
            <w:rFonts w:ascii="Times New Roman" w:hAnsi="Times New Roman" w:eastAsia="標楷體" w:cs="標楷體"/>
            <w:webHidden/>
          </w:rPr>
          <w:fldChar w:fldCharType="separate"/>
        </w:r>
        <w:r>
          <w:rPr>
            <w:rFonts w:ascii="Times New Roman" w:hAnsi="Times New Roman" w:eastAsia="標楷體" w:cs="標楷體"/>
            <w:webHidden/>
          </w:rPr>
          <w:t>54</w:t>
        </w:r>
        <w:r>
          <w:rPr>
            <w:rFonts w:ascii="Times New Roman" w:hAnsi="Times New Roman" w:eastAsia="標楷體" w:cs="標楷體"/>
            <w:webHidden/>
          </w:rPr>
          <w:fldChar w:fldCharType="end"/>
        </w:r>
      </w:hyperlink>
    </w:p>
    <w:p>
      <w:pPr>
        <w:pStyle w:val="TOC2"/>
      </w:pPr>
      <w:hyperlink w:anchor="_Toc10054" w:history="1">
        <w:r>
          <w:rPr>
            <w:rFonts w:ascii="Times New Roman" w:hAnsi="Times New Roman" w:eastAsia="標楷體" w:cs="標楷體"/>
          </w:rPr>
          <w:t>5.4　研究限制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_Toc10054 \h </w:instrText>
        </w:r>
        <w:r>
          <w:rPr>
            <w:rFonts w:ascii="Times New Roman" w:hAnsi="Times New Roman" w:eastAsia="標楷體" w:cs="標楷體"/>
            <w:webHidden/>
          </w:rPr>
          <w:fldChar w:fldCharType="separate"/>
        </w:r>
        <w:r>
          <w:rPr>
            <w:rFonts w:ascii="Times New Roman" w:hAnsi="Times New Roman" w:eastAsia="標楷體" w:cs="標楷體"/>
            <w:webHidden/>
          </w:rPr>
          <w:t>55</w:t>
        </w:r>
        <w:r>
          <w:rPr>
            <w:rFonts w:ascii="Times New Roman" w:hAnsi="Times New Roman" w:eastAsia="標楷體" w:cs="標楷體"/>
            <w:webHidden/>
          </w:rPr>
          <w:fldChar w:fldCharType="end"/>
        </w:r>
      </w:hyperlink>
    </w:p>
    <w:p>
      <w:pPr>
        <w:pStyle w:val="TOC2"/>
      </w:pPr>
      <w:hyperlink w:anchor="_Toc10055" w:history="1">
        <w:r>
          <w:rPr>
            <w:rFonts w:ascii="Times New Roman" w:hAnsi="Times New Roman" w:eastAsia="標楷體" w:cs="標楷體"/>
          </w:rPr>
          <w:t>5.5　未來發展</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_Toc10055 \h </w:instrText>
        </w:r>
        <w:r>
          <w:rPr>
            <w:rFonts w:ascii="Times New Roman" w:hAnsi="Times New Roman" w:eastAsia="標楷體" w:cs="標楷體"/>
            <w:webHidden/>
          </w:rPr>
          <w:fldChar w:fldCharType="separate"/>
        </w:r>
        <w:r>
          <w:rPr>
            <w:rFonts w:ascii="Times New Roman" w:hAnsi="Times New Roman" w:eastAsia="標楷體" w:cs="標楷體"/>
            <w:webHidden/>
          </w:rPr>
          <w:t>56</w:t>
        </w:r>
        <w:r>
          <w:rPr>
            <w:rFonts w:ascii="Times New Roman" w:hAnsi="Times New Roman" w:eastAsia="標楷體" w:cs="標楷體"/>
            <w:webHidden/>
          </w:rPr>
          <w:fldChar w:fldCharType="end"/>
        </w:r>
      </w:hyperlink>
    </w:p>
    <w:p>
      <w:pPr>
        <w:pStyle w:val="TOC2"/>
      </w:pPr>
      <w:hyperlink w:anchor="_Toc10056" w:history="1">
        <w:r>
          <w:rPr>
            <w:rFonts w:ascii="Times New Roman" w:hAnsi="Times New Roman" w:eastAsia="標楷體" w:cs="標楷體"/>
          </w:rPr>
          <w:t>5.6　臺灣首件 Verra 林業碳匯認證的可行路徑</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_Toc10056 \h </w:instrText>
        </w:r>
        <w:r>
          <w:rPr>
            <w:rFonts w:ascii="Times New Roman" w:hAnsi="Times New Roman" w:eastAsia="標楷體" w:cs="標楷體"/>
            <w:webHidden/>
          </w:rPr>
          <w:fldChar w:fldCharType="separate"/>
        </w:r>
        <w:r>
          <w:rPr>
            <w:rFonts w:ascii="Times New Roman" w:hAnsi="Times New Roman" w:eastAsia="標楷體" w:cs="標楷體"/>
            <w:webHidden/>
          </w:rPr>
          <w:t>57</w:t>
        </w:r>
        <w:r>
          <w:rPr>
            <w:rFonts w:ascii="Times New Roman" w:hAnsi="Times New Roman" w:eastAsia="標楷體" w:cs="標楷體"/>
            <w:webHidden/>
          </w:rPr>
          <w:fldChar w:fldCharType="end"/>
        </w:r>
      </w:hyperlink>
    </w:p>
    <w:p>
      <w:pPr>
        <w:pStyle w:val="TOC3"/>
      </w:pPr>
      <w:hyperlink w:anchor="_Toc10057" w:history="1">
        <w:r>
          <w:rPr>
            <w:rFonts w:ascii="Times New Roman" w:hAnsi="Times New Roman" w:eastAsia="標楷體" w:cs="標楷體"/>
          </w:rPr>
          <w:t>5.6.1　先行者困境與三條破局路徑</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_Toc10057 \h </w:instrText>
        </w:r>
        <w:r>
          <w:rPr>
            <w:rFonts w:ascii="Times New Roman" w:hAnsi="Times New Roman" w:eastAsia="標楷體" w:cs="標楷體"/>
            <w:webHidden/>
          </w:rPr>
          <w:fldChar w:fldCharType="separate"/>
        </w:r>
        <w:r>
          <w:rPr>
            <w:rFonts w:ascii="Times New Roman" w:hAnsi="Times New Roman" w:eastAsia="標楷體" w:cs="標楷體"/>
            <w:webHidden/>
          </w:rPr>
          <w:t>58</w:t>
        </w:r>
        <w:r>
          <w:rPr>
            <w:rFonts w:ascii="Times New Roman" w:hAnsi="Times New Roman" w:eastAsia="標楷體" w:cs="標楷體"/>
            <w:webHidden/>
          </w:rPr>
          <w:fldChar w:fldCharType="end"/>
        </w:r>
      </w:hyperlink>
    </w:p>
    <w:p>
      <w:pPr>
        <w:pStyle w:val="TOC3"/>
      </w:pPr>
      <w:hyperlink w:anchor="_Toc10058" w:history="1">
        <w:r>
          <w:rPr>
            <w:rFonts w:ascii="Times New Roman" w:hAnsi="Times New Roman" w:eastAsia="標楷體" w:cs="標楷體"/>
          </w:rPr>
          <w:t>5.6.2　示範計畫路徑的具體形貌</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_Toc10058 \h </w:instrText>
        </w:r>
        <w:r>
          <w:rPr>
            <w:rFonts w:ascii="Times New Roman" w:hAnsi="Times New Roman" w:eastAsia="標楷體" w:cs="標楷體"/>
            <w:webHidden/>
          </w:rPr>
          <w:fldChar w:fldCharType="separate"/>
        </w:r>
        <w:r>
          <w:rPr>
            <w:rFonts w:ascii="Times New Roman" w:hAnsi="Times New Roman" w:eastAsia="標楷體" w:cs="標楷體"/>
            <w:webHidden/>
          </w:rPr>
          <w:t>59</w:t>
        </w:r>
        <w:r>
          <w:rPr>
            <w:rFonts w:ascii="Times New Roman" w:hAnsi="Times New Roman" w:eastAsia="標楷體" w:cs="標楷體"/>
            <w:webHidden/>
          </w:rPr>
          <w:fldChar w:fldCharType="end"/>
        </w:r>
      </w:hyperlink>
    </w:p>
    <w:p>
      <w:pPr>
        <w:pStyle w:val="TOC3"/>
      </w:pPr>
      <w:hyperlink w:anchor="_Toc10059" w:history="1">
        <w:r>
          <w:rPr>
            <w:rFonts w:ascii="Times New Roman" w:hAnsi="Times New Roman" w:eastAsia="標楷體" w:cs="標楷體"/>
          </w:rPr>
          <w:t>5.6.3　第一個案例的敘事框架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_Toc10059 \h </w:instrText>
        </w:r>
        <w:r>
          <w:rPr>
            <w:rFonts w:ascii="Times New Roman" w:hAnsi="Times New Roman" w:eastAsia="標楷體" w:cs="標楷體"/>
            <w:webHidden/>
          </w:rPr>
          <w:fldChar w:fldCharType="separate"/>
        </w:r>
        <w:r>
          <w:rPr>
            <w:rFonts w:ascii="Times New Roman" w:hAnsi="Times New Roman" w:eastAsia="標楷體" w:cs="標楷體"/>
            <w:webHidden/>
          </w:rPr>
          <w:t>60</w:t>
        </w:r>
        <w:r>
          <w:rPr>
            <w:rFonts w:ascii="Times New Roman" w:hAnsi="Times New Roman" w:eastAsia="標楷體" w:cs="標楷體"/>
            <w:webHidden/>
          </w:rPr>
          <w:fldChar w:fldCharType="end"/>
        </w:r>
      </w:hyperlink>
    </w:p>
    <w:p>
      <w:pPr>
        <w:pStyle w:val="TOC1"/>
      </w:pPr>
      <w:hyperlink w:anchor="_Toc10060" w:history="1">
        <w:r>
          <w:rPr>
            <w:rFonts w:ascii="Times New Roman" w:hAnsi="Times New Roman" w:eastAsia="標楷體" w:cs="標楷體"/>
          </w:rPr>
          <w:t>參考文獻</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_Toc10060 \h </w:instrText>
        </w:r>
        <w:r>
          <w:rPr>
            <w:rFonts w:ascii="Times New Roman" w:hAnsi="Times New Roman" w:eastAsia="標楷體" w:cs="標楷體"/>
            <w:webHidden/>
          </w:rPr>
          <w:fldChar w:fldCharType="separate"/>
        </w:r>
        <w:r>
          <w:rPr>
            <w:rFonts w:ascii="Times New Roman" w:hAnsi="Times New Roman" w:eastAsia="標楷體" w:cs="標楷體"/>
            <w:webHidden/>
          </w:rPr>
          <w:t>61</w:t>
        </w:r>
        <w:r>
          <w:rPr>
            <w:rFonts w:ascii="Times New Roman" w:hAnsi="Times New Roman" w:eastAsia="標楷體" w:cs="標楷體"/>
            <w:webHidden/>
          </w:rPr>
          <w:fldChar w:fldCharType="end"/>
        </w:r>
      </w:hyperlink>
    </w:p>
    <w:p>
      <w:pPr>
        <w:pStyle w:val="TOC2"/>
      </w:pPr>
      <w:hyperlink w:anchor="_Toc10061" w:history="1">
        <w:r>
          <w:rPr>
            <w:rFonts w:ascii="Times New Roman" w:hAnsi="Times New Roman" w:eastAsia="標楷體" w:cs="標楷體"/>
          </w:rPr>
          <w:t>中文文獻</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_Toc10061 \h </w:instrText>
        </w:r>
        <w:r>
          <w:rPr>
            <w:rFonts w:ascii="Times New Roman" w:hAnsi="Times New Roman" w:eastAsia="標楷體" w:cs="標楷體"/>
            <w:webHidden/>
          </w:rPr>
          <w:fldChar w:fldCharType="separate"/>
        </w:r>
        <w:r>
          <w:rPr>
            <w:rFonts w:ascii="Times New Roman" w:hAnsi="Times New Roman" w:eastAsia="標楷體" w:cs="標楷體"/>
            <w:webHidden/>
          </w:rPr>
          <w:t>62</w:t>
        </w:r>
        <w:r>
          <w:rPr>
            <w:rFonts w:ascii="Times New Roman" w:hAnsi="Times New Roman" w:eastAsia="標楷體" w:cs="標楷體"/>
            <w:webHidden/>
          </w:rPr>
          <w:fldChar w:fldCharType="end"/>
        </w:r>
      </w:hyperlink>
    </w:p>
    <w:p>
      <w:pPr>
        <w:pStyle w:val="TOC2"/>
      </w:pPr>
      <w:hyperlink w:anchor="_Toc10062" w:history="1">
        <w:r>
          <w:rPr>
            <w:rFonts w:ascii="Times New Roman" w:hAnsi="Times New Roman" w:eastAsia="標楷體" w:cs="標楷體"/>
          </w:rPr>
          <w:t>英文文獻</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_Toc10062 \h </w:instrText>
        </w:r>
        <w:r>
          <w:rPr>
            <w:rFonts w:ascii="Times New Roman" w:hAnsi="Times New Roman" w:eastAsia="標楷體" w:cs="標楷體"/>
            <w:webHidden/>
          </w:rPr>
          <w:fldChar w:fldCharType="separate"/>
        </w:r>
        <w:r>
          <w:rPr>
            <w:rFonts w:ascii="Times New Roman" w:hAnsi="Times New Roman" w:eastAsia="標楷體" w:cs="標楷體"/>
            <w:webHidden/>
          </w:rPr>
          <w:t>63</w:t>
        </w:r>
        <w:r>
          <w:rPr>
            <w:rFonts w:ascii="Times New Roman" w:hAnsi="Times New Roman" w:eastAsia="標楷體" w:cs="標楷體"/>
            <w:webHidden/>
          </w:rPr>
          <w:fldChar w:fldCharType="end"/>
        </w:r>
      </w:hyperlink>
    </w:p>
    <w:p>
      <w:pPr>
        <w:pStyle w:val="TOC1"/>
      </w:pPr>
      <w:hyperlink w:anchor="_Toc10063" w:history="1">
        <w:r>
          <w:rPr>
            <w:rFonts w:ascii="Times New Roman" w:hAnsi="Times New Roman" w:eastAsia="標楷體" w:cs="標楷體"/>
          </w:rPr>
          <w:t>附錄 B　系統技術部署指南</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_Toc10063 \h </w:instrText>
        </w:r>
        <w:r>
          <w:rPr>
            <w:rFonts w:ascii="Times New Roman" w:hAnsi="Times New Roman" w:eastAsia="標楷體" w:cs="標楷體"/>
            <w:webHidden/>
          </w:rPr>
          <w:fldChar w:fldCharType="separate"/>
        </w:r>
        <w:r>
          <w:rPr>
            <w:rFonts w:ascii="Times New Roman" w:hAnsi="Times New Roman" w:eastAsia="標楷體" w:cs="標楷體"/>
            <w:webHidden/>
          </w:rPr>
          <w:t>64</w:t>
        </w:r>
        <w:r>
          <w:rPr>
            <w:rFonts w:ascii="Times New Roman" w:hAnsi="Times New Roman" w:eastAsia="標楷體" w:cs="標楷體"/>
            <w:webHidden/>
          </w:rPr>
          <w:fldChar w:fldCharType="end"/>
        </w:r>
      </w:hyperlink>
    </w:p>
    <w:p>
      <w:pPr>
        <w:pStyle w:val="TOC2"/>
      </w:pPr>
      <w:hyperlink w:anchor="_Toc10064" w:history="1">
        <w:r>
          <w:rPr>
            <w:rFonts w:ascii="Times New Roman" w:hAnsi="Times New Roman" w:eastAsia="標楷體" w:cs="標楷體"/>
          </w:rPr>
          <w:t>B.1　系統部署拓撲</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_Toc10064 \h </w:instrText>
        </w:r>
        <w:r>
          <w:rPr>
            <w:rFonts w:ascii="Times New Roman" w:hAnsi="Times New Roman" w:eastAsia="標楷體" w:cs="標楷體"/>
            <w:webHidden/>
          </w:rPr>
          <w:fldChar w:fldCharType="separate"/>
        </w:r>
        <w:r>
          <w:rPr>
            <w:rFonts w:ascii="Times New Roman" w:hAnsi="Times New Roman" w:eastAsia="標楷體" w:cs="標楷體"/>
            <w:webHidden/>
          </w:rPr>
          <w:t>65</w:t>
        </w:r>
        <w:r>
          <w:rPr>
            <w:rFonts w:ascii="Times New Roman" w:hAnsi="Times New Roman" w:eastAsia="標楷體" w:cs="標楷體"/>
            <w:webHidden/>
          </w:rPr>
          <w:fldChar w:fldCharType="end"/>
        </w:r>
      </w:hyperlink>
    </w:p>
    <w:p>
      <w:pPr>
        <w:pStyle w:val="TOC2"/>
      </w:pPr>
      <w:hyperlink w:anchor="_Toc10065" w:history="1">
        <w:r>
          <w:rPr>
            <w:rFonts w:ascii="Times New Roman" w:hAnsi="Times New Roman" w:eastAsia="標楷體" w:cs="標楷體"/>
          </w:rPr>
          <w:t>B.2　開發環境前置需求</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_Toc10065 \h </w:instrText>
        </w:r>
        <w:r>
          <w:rPr>
            <w:rFonts w:ascii="Times New Roman" w:hAnsi="Times New Roman" w:eastAsia="標楷體" w:cs="標楷體"/>
            <w:webHidden/>
          </w:rPr>
          <w:fldChar w:fldCharType="separate"/>
        </w:r>
        <w:r>
          <w:rPr>
            <w:rFonts w:ascii="Times New Roman" w:hAnsi="Times New Roman" w:eastAsia="標楷體" w:cs="標楷體"/>
            <w:webHidden/>
          </w:rPr>
          <w:t>66</w:t>
        </w:r>
        <w:r>
          <w:rPr>
            <w:rFonts w:ascii="Times New Roman" w:hAnsi="Times New Roman" w:eastAsia="標楷體" w:cs="標楷體"/>
            <w:webHidden/>
          </w:rPr>
          <w:fldChar w:fldCharType="end"/>
        </w:r>
      </w:hyperlink>
    </w:p>
    <w:p>
      <w:pPr>
        <w:pStyle w:val="TOC2"/>
      </w:pPr>
      <w:hyperlink w:anchor="_Toc10066" w:history="1">
        <w:r>
          <w:rPr>
            <w:rFonts w:ascii="Times New Roman" w:hAnsi="Times New Roman" w:eastAsia="標楷體" w:cs="標楷體"/>
          </w:rPr>
          <w:t>B.3　影片量測系統部署（forest-carbon-measurement）</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_Toc10066 \h </w:instrText>
        </w:r>
        <w:r>
          <w:rPr>
            <w:rFonts w:ascii="Times New Roman" w:hAnsi="Times New Roman" w:eastAsia="標楷體" w:cs="標楷體"/>
            <w:webHidden/>
          </w:rPr>
          <w:fldChar w:fldCharType="separate"/>
        </w:r>
        <w:r>
          <w:rPr>
            <w:rFonts w:ascii="Times New Roman" w:hAnsi="Times New Roman" w:eastAsia="標楷體" w:cs="標楷體"/>
            <w:webHidden/>
          </w:rPr>
          <w:t>67</w:t>
        </w:r>
        <w:r>
          <w:rPr>
            <w:rFonts w:ascii="Times New Roman" w:hAnsi="Times New Roman" w:eastAsia="標楷體" w:cs="標楷體"/>
            <w:webHidden/>
          </w:rPr>
          <w:fldChar w:fldCharType="end"/>
        </w:r>
      </w:hyperlink>
    </w:p>
    <w:p>
      <w:pPr>
        <w:pStyle w:val="TOC2"/>
      </w:pPr>
      <w:hyperlink w:anchor="_Toc10067" w:history="1">
        <w:r>
          <w:rPr>
            <w:rFonts w:ascii="Times New Roman" w:hAnsi="Times New Roman" w:eastAsia="標楷體" w:cs="標楷體"/>
          </w:rPr>
          <w:t>B.4　Hyperledger Besu 企業私鏈部署（GCP）</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_Toc10067 \h </w:instrText>
        </w:r>
        <w:r>
          <w:rPr>
            <w:rFonts w:ascii="Times New Roman" w:hAnsi="Times New Roman" w:eastAsia="標楷體" w:cs="標楷體"/>
            <w:webHidden/>
          </w:rPr>
          <w:fldChar w:fldCharType="separate"/>
        </w:r>
        <w:r>
          <w:rPr>
            <w:rFonts w:ascii="Times New Roman" w:hAnsi="Times New Roman" w:eastAsia="標楷體" w:cs="標楷體"/>
            <w:webHidden/>
          </w:rPr>
          <w:t>68</w:t>
        </w:r>
        <w:r>
          <w:rPr>
            <w:rFonts w:ascii="Times New Roman" w:hAnsi="Times New Roman" w:eastAsia="標楷體" w:cs="標楷體"/>
            <w:webHidden/>
          </w:rPr>
          <w:fldChar w:fldCharType="end"/>
        </w:r>
      </w:hyperlink>
    </w:p>
    <w:p>
      <w:pPr>
        <w:pStyle w:val="TOC2"/>
      </w:pPr>
      <w:hyperlink w:anchor="_Toc10068" w:history="1">
        <w:r>
          <w:rPr>
            <w:rFonts w:ascii="Times New Roman" w:hAnsi="Times New Roman" w:eastAsia="標楷體" w:cs="標楷體"/>
          </w:rPr>
          <w:t>B.5　維運與排錯</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_Toc10068 \h </w:instrText>
        </w:r>
        <w:r>
          <w:rPr>
            <w:rFonts w:ascii="Times New Roman" w:hAnsi="Times New Roman" w:eastAsia="標楷體" w:cs="標楷體"/>
            <w:webHidden/>
          </w:rPr>
          <w:fldChar w:fldCharType="separate"/>
        </w:r>
        <w:r>
          <w:rPr>
            <w:rFonts w:ascii="Times New Roman" w:hAnsi="Times New Roman" w:eastAsia="標楷體" w:cs="標楷體"/>
            <w:webHidden/>
          </w:rPr>
          <w:t>69</w:t>
        </w:r>
        <w:r>
          <w:rPr>
            <w:rFonts w:ascii="Times New Roman" w:hAnsi="Times New Roman" w:eastAsia="標楷體" w:cs="標楷體"/>
            <w:webHidden/>
          </w:rPr>
          <w:fldChar w:fldCharType="end"/>
        </w:r>
      </w:hyperlink>
    </w:p>
    <w:p>
      <w:pPr>
        <w:pStyle w:val="TOC1"/>
      </w:pPr>
      <w:hyperlink w:anchor="_Toc10069" w:history="1">
        <w:r>
          <w:rPr>
            <w:rFonts w:ascii="Times New Roman" w:hAnsi="Times New Roman" w:eastAsia="標楷體" w:cs="標楷體"/>
          </w:rPr>
          <w:t>附錄 C　回饋機制、社區教育與企業私鏈應用規劃</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_Toc10069 \h </w:instrText>
        </w:r>
        <w:r>
          <w:rPr>
            <w:rFonts w:ascii="Times New Roman" w:hAnsi="Times New Roman" w:eastAsia="標楷體" w:cs="標楷體"/>
            <w:webHidden/>
          </w:rPr>
          <w:fldChar w:fldCharType="separate"/>
        </w:r>
        <w:r>
          <w:rPr>
            <w:rFonts w:ascii="Times New Roman" w:hAnsi="Times New Roman" w:eastAsia="標楷體" w:cs="標楷體"/>
            <w:webHidden/>
          </w:rPr>
          <w:t>70</w:t>
        </w:r>
        <w:r>
          <w:rPr>
            <w:rFonts w:ascii="Times New Roman" w:hAnsi="Times New Roman" w:eastAsia="標楷體" w:cs="標楷體"/>
            <w:webHidden/>
          </w:rPr>
          <w:fldChar w:fldCharType="end"/>
        </w:r>
      </w:hyperlink>
    </w:p>
    <w:p>
      <w:pPr>
        <w:pStyle w:val="TOC3"/>
      </w:pPr>
      <w:hyperlink w:anchor="_Toc10070" w:history="1">
        <w:r>
          <w:rPr>
            <w:rFonts w:ascii="Times New Roman" w:hAnsi="Times New Roman" w:eastAsia="標楷體" w:cs="標楷體"/>
          </w:rPr>
          <w:t>C.1　建立回饋機制</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_Toc10070 \h </w:instrText>
        </w:r>
        <w:r>
          <w:rPr>
            <w:rFonts w:ascii="Times New Roman" w:hAnsi="Times New Roman" w:eastAsia="標楷體" w:cs="標楷體"/>
            <w:webHidden/>
          </w:rPr>
          <w:fldChar w:fldCharType="separate"/>
        </w:r>
        <w:r>
          <w:rPr>
            <w:rFonts w:ascii="Times New Roman" w:hAnsi="Times New Roman" w:eastAsia="標楷體" w:cs="標楷體"/>
            <w:webHidden/>
          </w:rPr>
          <w:t>71</w:t>
        </w:r>
        <w:r>
          <w:rPr>
            <w:rFonts w:ascii="Times New Roman" w:hAnsi="Times New Roman" w:eastAsia="標楷體" w:cs="標楷體"/>
            <w:webHidden/>
          </w:rPr>
          <w:fldChar w:fldCharType="end"/>
        </w:r>
      </w:hyperlink>
    </w:p>
    <w:p>
      <w:pPr>
        <w:pStyle w:val="TOC3"/>
      </w:pPr>
      <w:hyperlink w:anchor="_Toc10071" w:history="1">
        <w:r>
          <w:rPr>
            <w:rFonts w:ascii="Times New Roman" w:hAnsi="Times New Roman" w:eastAsia="標楷體" w:cs="標楷體"/>
          </w:rPr>
          <w:t>C.2　社區人力溝通與推廣教育</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_Toc10071 \h </w:instrText>
        </w:r>
        <w:r>
          <w:rPr>
            <w:rFonts w:ascii="Times New Roman" w:hAnsi="Times New Roman" w:eastAsia="標楷體" w:cs="標楷體"/>
            <w:webHidden/>
          </w:rPr>
          <w:fldChar w:fldCharType="separate"/>
        </w:r>
        <w:r>
          <w:rPr>
            <w:rFonts w:ascii="Times New Roman" w:hAnsi="Times New Roman" w:eastAsia="標楷體" w:cs="標楷體"/>
            <w:webHidden/>
          </w:rPr>
          <w:t>72</w:t>
        </w:r>
        <w:r>
          <w:rPr>
            <w:rFonts w:ascii="Times New Roman" w:hAnsi="Times New Roman" w:eastAsia="標楷體" w:cs="標楷體"/>
            <w:webHidden/>
          </w:rPr>
          <w:fldChar w:fldCharType="end"/>
        </w:r>
      </w:hyperlink>
    </w:p>
    <w:p>
      <w:pPr>
        <w:pStyle w:val="TOC3"/>
      </w:pPr>
      <w:hyperlink w:anchor="_Toc10072" w:history="1">
        <w:r>
          <w:rPr>
            <w:rFonts w:ascii="Times New Roman" w:hAnsi="Times New Roman" w:eastAsia="標楷體" w:cs="標楷體"/>
          </w:rPr>
          <w:t>C.3　企業私鏈應用規劃</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_Toc10072 \h </w:instrText>
        </w:r>
        <w:r>
          <w:rPr>
            <w:rFonts w:ascii="Times New Roman" w:hAnsi="Times New Roman" w:eastAsia="標楷體" w:cs="標楷體"/>
            <w:webHidden/>
          </w:rPr>
          <w:fldChar w:fldCharType="separate"/>
        </w:r>
        <w:r>
          <w:rPr>
            <w:rFonts w:ascii="Times New Roman" w:hAnsi="Times New Roman" w:eastAsia="標楷體" w:cs="標楷體"/>
            <w:webHidden/>
          </w:rPr>
          <w:t>73</w:t>
        </w:r>
        <w:r>
          <w:rPr>
            <w:rFonts w:ascii="Times New Roman" w:hAnsi="Times New Roman" w:eastAsia="標楷體" w:cs="標楷體"/>
            <w:webHidden/>
          </w:rPr>
          <w:fldChar w:fldCharType="end"/>
        </w:r>
      </w:hyperlink>
    </w:p>
    <w:p>
      <w:pPr>
        <w:pStyle w:val="TOC1"/>
      </w:pPr>
      <w:hyperlink w:anchor="_Toc10073" w:history="1">
        <w:r>
          <w:rPr>
            <w:rFonts w:ascii="Times New Roman" w:hAnsi="Times New Roman" w:eastAsia="標楷體" w:cs="標楷體"/>
          </w:rPr>
          <w:t>附錄 D　31 棵樣本樹皮尺對照完整記錄</w:t>
        </w:r>
        <w:r>
          <w:rPr>
            <w:rFonts w:ascii="Times New Roman" w:hAnsi="Times New Roman" w:eastAsia="標楷體" w:cs="標楷體"/>
            <w:webHidden/>
          </w:rPr>
          <w:tab/>
        </w:r>
        <w:r>
          <w:rPr>
            <w:rFonts w:ascii="Times New Roman" w:hAnsi="Times New Roman" w:eastAsia="標楷體" w:cs="標楷體"/>
            <w:webHidden/>
          </w:rPr>
          <w:fldChar w:fldCharType="begin"/>
        </w:r>
        <w:r>
          <w:rPr>
            <w:rFonts w:ascii="Times New Roman" w:hAnsi="Times New Roman" w:eastAsia="標楷體" w:cs="標楷體"/>
            <w:webHidden/>
          </w:rPr>
          <w:instrText xml:space="preserve"> PAGEREF _Toc10073 \h </w:instrText>
        </w:r>
        <w:r>
          <w:rPr>
            <w:rFonts w:ascii="Times New Roman" w:hAnsi="Times New Roman" w:eastAsia="標楷體" w:cs="標楷體"/>
            <w:webHidden/>
          </w:rPr>
          <w:fldChar w:fldCharType="separate"/>
        </w:r>
        <w:r>
          <w:rPr>
            <w:rFonts w:ascii="Times New Roman" w:hAnsi="Times New Roman" w:eastAsia="標楷體" w:cs="標楷體"/>
            <w:webHidden/>
          </w:rPr>
          <w:t>74</w:t>
        </w:r>
        <w:r>
          <w:rPr>
            <w:rFonts w:ascii="Times New Roman" w:hAnsi="Times New Roman" w:eastAsia="標楷體" w:cs="標楷體"/>
            <w:webHidden/>
          </w:rPr>
          <w:fldChar w:fldCharType="end"/>
        </w:r>
      </w:hyperlink>
      <w:r>
        <w:rPr>
          <w:rFonts w:ascii="Times New Roman" w:hAnsi="Times New Roman" w:eastAsia="標楷體" w:cs="標楷體"/>
        </w:rPr>
        <w:fldChar w:fldCharType="end"/>
      </w:r>
    </w:p>
    <w:p>
      <w:r>
        <w:rPr>
          <w:rFonts w:ascii="Times New Roman" w:hAnsi="Times New Roman" w:eastAsia="標楷體" w:cs="標楷體"/>
        </w:rPr>
        <w:br w:type="page"/>
      </w:r>
    </w:p>
    <w:p>
      <w:pPr>
        <w:pStyle w:val="Heading1"/>
      </w:pPr>
      <w:bookmarkStart w:id="3" w:name="_Toc10002"/>
      <w:r>
        <w:rPr>
          <w:rFonts w:ascii="Times New Roman" w:hAnsi="Times New Roman" w:eastAsia="標楷體" w:cs="標楷體"/>
          <w:sz w:val="28"/>
        </w:rPr>
        <w:t>第一章　問題識別與動機建構</w:t>
      </w:r>
      <w:bookmarkEnd w:id="3"/>
    </w:p>
    <w:p>
      <w:pPr>
        <w:pStyle w:val="Heading2"/>
      </w:pPr>
      <w:bookmarkStart w:id="4" w:name="_Toc10003"/>
      <w:r>
        <w:rPr>
          <w:rFonts w:ascii="Times New Roman" w:hAnsi="Times New Roman" w:eastAsia="標楷體" w:cs="標楷體"/>
          <w:sz w:val="26"/>
        </w:rPr>
        <w:t>1.1 研究背景與動機</w:t>
      </w:r>
      <w:bookmarkEnd w:id="4"/>
    </w:p>
    <w:p>
      <w:pPr>
        <w:spacing w:after="120"/>
        <w:ind w:firstLine="480"/>
      </w:pPr>
      <w:r>
        <w:rPr>
          <w:rFonts w:ascii="Times New Roman" w:hAnsi="Times New Roman" w:eastAsia="標楷體" w:cs="標楷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Times New Roman" w:hAnsi="Times New Roman" w:eastAsia="標楷體" w:cs="標楷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值得注意的是，量化碳儲量的核心指標——胸高直徑（DBH, Diameter at Breast Height）——目前仍主要依賴人工捲尺量測，費時且難以在碎片化小地主群體中大規模推廣。</w:t>
      </w:r>
    </w:p>
    <w:p>
      <w:pPr>
        <w:spacing w:after="120"/>
        <w:ind w:firstLine="480"/>
      </w:pPr>
      <w:r>
        <w:rPr>
          <w:rFonts w:ascii="Times New Roman" w:hAnsi="Times New Roman" w:eastAsia="標楷體" w:cs="標楷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Times New Roman" w:hAnsi="Times New Roman" w:eastAsia="標楷體" w:cs="標楷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rPr>
          <w:rFonts w:ascii="Times New Roman" w:hAnsi="Times New Roman" w:eastAsia="標楷體" w:cs="標楷體"/>
        </w:rP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rPr>
          <w:rFonts w:ascii="Times New Roman" w:hAnsi="Times New Roman" w:eastAsia="標楷體" w:cs="標楷體"/>
        </w:rP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rPr>
          <w:rFonts w:ascii="Times New Roman" w:hAnsi="Times New Roman" w:eastAsia="標楷體" w:cs="標楷體"/>
        </w:rP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rPr>
          <w:rFonts w:ascii="Times New Roman" w:hAnsi="Times New Roman" w:eastAsia="標楷體" w:cs="標楷體"/>
        </w:rP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bookmarkStart w:id="5" w:name="_Toc10004"/>
      <w:r>
        <w:rPr>
          <w:rFonts w:ascii="Times New Roman" w:hAnsi="Times New Roman" w:eastAsia="標楷體" w:cs="標楷體"/>
          <w:sz w:val="26"/>
        </w:rPr>
        <w:t>1.2 研究問題</w:t>
      </w:r>
      <w:bookmarkEnd w:id="5"/>
    </w:p>
    <w:p>
      <w:pPr>
        <w:spacing w:after="120"/>
        <w:ind w:firstLine="480"/>
      </w:pPr>
      <w:r>
        <w:rPr>
          <w:rFonts w:ascii="Times New Roman" w:hAnsi="Times New Roman" w:eastAsia="標楷體" w:cs="標楷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Times New Roman" w:hAnsi="Times New Roman" w:eastAsia="標楷體" w:cs="標楷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b/>
                <w:sz w:val="22"/>
              </w:rPr>
              <w:t>研究問題</w:t>
            </w:r>
          </w:p>
        </w:tc>
        <w:tc>
          <w:tcPr>
            <w:tcW w:type="dxa" w:w="2929"/>
          </w:tcPr>
          <w:p>
            <w:r>
              <w:rPr>
                <w:rFonts w:ascii="Times New Roman" w:hAnsi="Times New Roman" w:eastAsia="標楷體" w:cs="標楷體"/>
                <w:b/>
                <w:sz w:val="22"/>
              </w:rPr>
              <w:t>核心命題</w:t>
            </w:r>
          </w:p>
        </w:tc>
        <w:tc>
          <w:tcPr>
            <w:tcW w:type="dxa" w:w="2929"/>
          </w:tcPr>
          <w:p>
            <w:r>
              <w:rPr>
                <w:rFonts w:ascii="Times New Roman" w:hAnsi="Times New Roman" w:eastAsia="標楷體" w:cs="標楷體"/>
                <w:b/>
                <w:sz w:val="22"/>
              </w:rPr>
              <w:t>主要評估指標</w:t>
            </w:r>
          </w:p>
        </w:tc>
      </w:tr>
      <w:tr>
        <w:tc>
          <w:tcPr>
            <w:tcW w:type="dxa" w:w="2929"/>
          </w:tcPr>
          <w:p>
            <w:r>
              <w:rPr>
                <w:rFonts w:ascii="Times New Roman" w:hAnsi="Times New Roman" w:eastAsia="標楷體" w:cs="標楷體"/>
                <w:sz w:val="22"/>
              </w:rPr>
              <w:t>研究問題一</w:t>
            </w:r>
          </w:p>
        </w:tc>
        <w:tc>
          <w:tcPr>
            <w:tcW w:type="dxa" w:w="2929"/>
          </w:tcPr>
          <w:p>
            <w:r>
              <w:rPr>
                <w:rFonts w:ascii="Times New Roman" w:hAnsi="Times New Roman" w:eastAsia="標楷體" w:cs="標楷體"/>
                <w:sz w:val="22"/>
              </w:rPr>
              <w:t>以手機影片結合薄透鏡公式估算胸高直徑（DBH, Diameter at Breast Height），量測精度能否達到 平均絕對百分比誤差 ≤ 25%？</w:t>
            </w:r>
          </w:p>
        </w:tc>
        <w:tc>
          <w:tcPr>
            <w:tcW w:type="dxa" w:w="2929"/>
          </w:tcPr>
          <w:p>
            <w:r>
              <w:rPr>
                <w:rFonts w:ascii="Times New Roman" w:hAnsi="Times New Roman" w:eastAsia="標楷體" w:cs="標楷體"/>
                <w:sz w:val="22"/>
              </w:rPr>
              <w:t>平均絕對誤差、平均絕對百分比誤差、均方根誤差（均方根誤差）、R²</w:t>
              <w:br/>
              <w:t>（Bootstrap 95% 信賴區間）</w:t>
            </w:r>
          </w:p>
        </w:tc>
      </w:tr>
      <w:tr>
        <w:tc>
          <w:tcPr>
            <w:tcW w:type="dxa" w:w="2929"/>
          </w:tcPr>
          <w:p>
            <w:r>
              <w:rPr>
                <w:rFonts w:ascii="Times New Roman" w:hAnsi="Times New Roman" w:eastAsia="標楷體" w:cs="標楷體"/>
                <w:sz w:val="22"/>
              </w:rPr>
              <w:t>研究問題二</w:t>
            </w:r>
          </w:p>
        </w:tc>
        <w:tc>
          <w:tcPr>
            <w:tcW w:type="dxa" w:w="2929"/>
          </w:tcPr>
          <w:p>
            <w:r>
              <w:rPr>
                <w:rFonts w:ascii="Times New Roman" w:hAnsi="Times New Roman" w:eastAsia="標楷體" w:cs="標楷體"/>
                <w:sz w:val="22"/>
              </w:rPr>
              <w:t>修正因子能否藉由累積實測回饋自動演進，持續降低系統性偏差？</w:t>
            </w:r>
          </w:p>
        </w:tc>
        <w:tc>
          <w:tcPr>
            <w:tcW w:type="dxa" w:w="2929"/>
          </w:tcPr>
          <w:p>
            <w:r>
              <w:rPr>
                <w:rFonts w:ascii="Times New Roman" w:hAnsi="Times New Roman" w:eastAsia="標楷體" w:cs="標楷體"/>
                <w:sz w:val="22"/>
              </w:rPr>
              <w:t>演進前後 bias 比較</w:t>
              <w:br/>
              <w:t>correction_factor_log 趨勢</w:t>
            </w:r>
          </w:p>
        </w:tc>
      </w:tr>
      <w:tr>
        <w:tc>
          <w:tcPr>
            <w:tcW w:type="dxa" w:w="2929"/>
          </w:tcPr>
          <w:p>
            <w:r>
              <w:rPr>
                <w:rFonts w:ascii="Times New Roman" w:hAnsi="Times New Roman" w:eastAsia="標楷體" w:cs="標楷體"/>
                <w:sz w:val="22"/>
              </w:rPr>
              <w:t>研究問題三</w:t>
            </w:r>
          </w:p>
        </w:tc>
        <w:tc>
          <w:tcPr>
            <w:tcW w:type="dxa" w:w="2929"/>
          </w:tcPr>
          <w:p>
            <w:r>
              <w:rPr>
                <w:rFonts w:ascii="Times New Roman" w:hAnsi="Times New Roman" w:eastAsia="標楷體" w:cs="標楷體"/>
                <w:sz w:val="22"/>
              </w:rPr>
              <w:t>區塊鏈存證機制能否確保碳匯量測記錄的不可竄改性？</w:t>
            </w:r>
          </w:p>
        </w:tc>
        <w:tc>
          <w:tcPr>
            <w:tcW w:type="dxa" w:w="2929"/>
          </w:tcPr>
          <w:p>
            <w:r>
              <w:rPr>
                <w:rFonts w:ascii="Times New Roman" w:hAnsi="Times New Roman" w:eastAsia="標楷體" w:cs="標楷體"/>
                <w:sz w:val="22"/>
              </w:rPr>
              <w:t>verify-blockchain.js 一致性比率、上鏈成功率</w:t>
            </w:r>
          </w:p>
        </w:tc>
      </w:tr>
    </w:tbl>
    <w:p/>
    <w:p>
      <w:pPr>
        <w:jc w:val="center"/>
      </w:pPr>
      <w:r>
        <w:rPr>
          <w:rFonts w:ascii="Times New Roman" w:hAnsi="Times New Roman" w:eastAsia="標楷體" w:cs="標楷體"/>
          <w:sz w:val="22"/>
        </w:rPr>
        <w:t>表 1-1　三個研究問題與評估指標</w:t>
      </w:r>
    </w:p>
    <w:p/>
    <w:p>
      <w:pPr>
        <w:pStyle w:val="Heading2"/>
      </w:pPr>
      <w:bookmarkStart w:id="6" w:name="_Toc10005"/>
      <w:r>
        <w:rPr>
          <w:rFonts w:ascii="Times New Roman" w:hAnsi="Times New Roman" w:eastAsia="標楷體" w:cs="標楷體"/>
          <w:sz w:val="26"/>
        </w:rPr>
        <w:t>1.3 研究目的</w:t>
      </w:r>
      <w:bookmarkEnd w:id="6"/>
    </w:p>
    <w:p>
      <w:pPr>
        <w:spacing w:after="120"/>
        <w:ind w:firstLine="480"/>
      </w:pPr>
      <w:r>
        <w:rPr>
          <w:rFonts w:ascii="Times New Roman" w:hAnsi="Times New Roman" w:eastAsia="標楷體" w:cs="標楷體"/>
          <w:sz w:val="24"/>
        </w:rPr>
        <w:t>此專案目的可分為以下四個層次：</w:t>
      </w:r>
    </w:p>
    <w:p>
      <w:pPr>
        <w:spacing w:after="120"/>
      </w:pPr>
      <w:r>
        <w:rPr>
          <w:rFonts w:ascii="Times New Roman" w:hAnsi="Times New Roman" w:eastAsia="標楷體" w:cs="標楷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Times New Roman" w:hAnsi="Times New Roman" w:eastAsia="標楷體" w:cs="標楷體"/>
          <w:sz w:val="24"/>
        </w:rPr>
        <w:t>（二）系統自演進目的：設計修正因子加權自演進機制，使系統能夠從累積的實測數據中自動調整估算模型，持續降低系統性偏差，提升碳匯估算的長期可靠性。</w:t>
      </w:r>
    </w:p>
    <w:p>
      <w:pPr>
        <w:spacing w:after="120"/>
      </w:pPr>
      <w:r>
        <w:rPr>
          <w:rFonts w:ascii="Times New Roman" w:hAnsi="Times New Roman" w:eastAsia="標楷體" w:cs="標楷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Times New Roman" w:hAnsi="Times New Roman" w:eastAsia="標楷體" w:cs="標楷體"/>
          <w:sz w:val="24"/>
        </w:rPr>
        <w:t>（四）制度推廣目的：降低碎片化地主與中小企業參與碳匯管理的制度性成本，提供具示範性與可擴展性的技術平台原型，支持 NDCs 框架下永續發展目標的推進。</w:t>
      </w:r>
    </w:p>
    <w:p>
      <w:pPr>
        <w:pStyle w:val="Heading2"/>
      </w:pPr>
      <w:bookmarkStart w:id="7" w:name="_Toc10006"/>
      <w:r>
        <w:rPr>
          <w:rFonts w:ascii="Times New Roman" w:hAnsi="Times New Roman" w:eastAsia="標楷體" w:cs="標楷體"/>
          <w:sz w:val="26"/>
        </w:rPr>
        <w:t>1.4 研究方法架構</w:t>
      </w:r>
      <w:bookmarkEnd w:id="7"/>
    </w:p>
    <w:p>
      <w:pPr>
        <w:spacing w:after="120"/>
        <w:ind w:firstLine="480"/>
      </w:pPr>
      <w:r>
        <w:rPr>
          <w:rFonts w:ascii="Times New Roman" w:hAnsi="Times New Roman" w:eastAsia="標楷體" w:cs="標楷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Times New Roman" w:hAnsi="Times New Roman" w:eastAsia="標楷體" w:cs="標楷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rFonts w:ascii="Times New Roman" w:hAnsi="Times New Roman" w:eastAsia="標楷體" w:cs="標楷體"/>
                <w:b/>
                <w:sz w:val="22"/>
              </w:rPr>
              <w:t>Hevner 準則（2004）</w:t>
            </w:r>
          </w:p>
        </w:tc>
        <w:tc>
          <w:tcPr>
            <w:tcW w:type="dxa" w:w="4394"/>
          </w:tcPr>
          <w:p>
            <w:r>
              <w:rPr>
                <w:rFonts w:ascii="Times New Roman" w:hAnsi="Times New Roman" w:eastAsia="標楷體" w:cs="標楷體"/>
                <w:b/>
                <w:sz w:val="22"/>
              </w:rPr>
              <w:t>此專案對應設計</w:t>
            </w:r>
          </w:p>
        </w:tc>
      </w:tr>
      <w:tr>
        <w:tc>
          <w:tcPr>
            <w:tcW w:type="dxa" w:w="4394"/>
          </w:tcPr>
          <w:p>
            <w:r>
              <w:rPr>
                <w:rFonts w:ascii="Times New Roman" w:hAnsi="Times New Roman" w:eastAsia="標楷體" w:cs="標楷體"/>
                <w:sz w:val="22"/>
              </w:rPr>
              <w:t>準則一：設計作為人工製品（Design as an Artifact）</w:t>
            </w:r>
          </w:p>
        </w:tc>
        <w:tc>
          <w:tcPr>
            <w:tcW w:type="dxa" w:w="4394"/>
          </w:tcPr>
          <w:p>
            <w:r>
              <w:rPr>
                <w:rFonts w:ascii="Times New Roman" w:hAnsi="Times New Roman" w:eastAsia="標楷體" w:cs="標楷體"/>
                <w:sz w:val="22"/>
              </w:rPr>
              <w:t>三支柱平台：量測引擎（薄透鏡公式 + 參照物路徑）、修正因子自演進帳本、CarbonCredit.sol 區塊鏈存證</w:t>
            </w:r>
          </w:p>
        </w:tc>
      </w:tr>
      <w:tr>
        <w:tc>
          <w:tcPr>
            <w:tcW w:type="dxa" w:w="4394"/>
          </w:tcPr>
          <w:p>
            <w:r>
              <w:rPr>
                <w:rFonts w:ascii="Times New Roman" w:hAnsi="Times New Roman" w:eastAsia="標楷體" w:cs="標楷體"/>
                <w:sz w:val="22"/>
              </w:rPr>
              <w:t>準則二：問題相關性（Problem Relevance）</w:t>
            </w:r>
          </w:p>
        </w:tc>
        <w:tc>
          <w:tcPr>
            <w:tcW w:type="dxa" w:w="4394"/>
          </w:tcPr>
          <w:p>
            <w:r>
              <w:rPr>
                <w:rFonts w:ascii="Times New Roman" w:hAnsi="Times New Roman" w:eastAsia="標楷體" w:cs="標楷體"/>
                <w:sz w:val="22"/>
              </w:rPr>
              <w:t>針對碎片化地主缺乏低成本胸高直徑量測工具、碳匯記錄難以驗證的實務缺口</w:t>
            </w:r>
          </w:p>
        </w:tc>
      </w:tr>
      <w:tr>
        <w:tc>
          <w:tcPr>
            <w:tcW w:type="dxa" w:w="4394"/>
          </w:tcPr>
          <w:p>
            <w:r>
              <w:rPr>
                <w:rFonts w:ascii="Times New Roman" w:hAnsi="Times New Roman" w:eastAsia="標楷體" w:cs="標楷體"/>
                <w:sz w:val="22"/>
              </w:rPr>
              <w:t>準則三：設計評估（Design Evaluation）</w:t>
            </w:r>
          </w:p>
        </w:tc>
        <w:tc>
          <w:tcPr>
            <w:tcW w:type="dxa" w:w="4394"/>
          </w:tcPr>
          <w:p>
            <w:r>
              <w:rPr>
                <w:rFonts w:ascii="Times New Roman" w:hAnsi="Times New Roman" w:eastAsia="標楷體" w:cs="標楷體"/>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rFonts w:ascii="Times New Roman" w:hAnsi="Times New Roman" w:eastAsia="標楷體" w:cs="標楷體"/>
                <w:sz w:val="22"/>
              </w:rPr>
              <w:t>準則四：研究貢獻（Research Contributions）</w:t>
            </w:r>
          </w:p>
        </w:tc>
        <w:tc>
          <w:tcPr>
            <w:tcW w:type="dxa" w:w="4394"/>
          </w:tcPr>
          <w:p>
            <w:r>
              <w:rPr>
                <w:rFonts w:ascii="Times New Roman" w:hAnsi="Times New Roman" w:eastAsia="標楷體" w:cs="標楷體"/>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rFonts w:ascii="Times New Roman" w:hAnsi="Times New Roman" w:eastAsia="標楷體" w:cs="標楷體"/>
                <w:sz w:val="22"/>
              </w:rPr>
              <w:t>準則五：研究嚴謹性（Research Rigor）</w:t>
            </w:r>
          </w:p>
        </w:tc>
        <w:tc>
          <w:tcPr>
            <w:tcW w:type="dxa" w:w="4394"/>
          </w:tcPr>
          <w:p>
            <w:r>
              <w:rPr>
                <w:rFonts w:ascii="Times New Roman" w:hAnsi="Times New Roman" w:eastAsia="標楷體" w:cs="標楷體"/>
                <w:sz w:val="22"/>
              </w:rPr>
              <w:t>Bootstrap 10,000 次重採樣 95% 信賴區間、Hevner 設計科學研究法 評估 checklist 自動評分</w:t>
            </w:r>
          </w:p>
        </w:tc>
      </w:tr>
      <w:tr>
        <w:tc>
          <w:tcPr>
            <w:tcW w:type="dxa" w:w="4394"/>
          </w:tcPr>
          <w:p>
            <w:r>
              <w:rPr>
                <w:rFonts w:ascii="Times New Roman" w:hAnsi="Times New Roman" w:eastAsia="標楷體" w:cs="標楷體"/>
                <w:sz w:val="22"/>
              </w:rPr>
              <w:t>準則六：設計為搜索過程（Design as a Search Process）</w:t>
            </w:r>
          </w:p>
        </w:tc>
        <w:tc>
          <w:tcPr>
            <w:tcW w:type="dxa" w:w="4394"/>
          </w:tcPr>
          <w:p>
            <w:r>
              <w:rPr>
                <w:rFonts w:ascii="Times New Roman" w:hAnsi="Times New Roman" w:eastAsia="標楷體" w:cs="標楷體"/>
                <w:sz w:val="22"/>
              </w:rPr>
              <w:t>三路徑優先級量測（光學字元辨識（OCR）直讀 + 參照物比例 + 薄透鏡公式）、跨幀群聚中位數抗噪、Pl@ntNet × iNaturalist 雙驗證</w:t>
            </w:r>
          </w:p>
        </w:tc>
      </w:tr>
      <w:tr>
        <w:tc>
          <w:tcPr>
            <w:tcW w:type="dxa" w:w="4394"/>
          </w:tcPr>
          <w:p>
            <w:r>
              <w:rPr>
                <w:rFonts w:ascii="Times New Roman" w:hAnsi="Times New Roman" w:eastAsia="標楷體" w:cs="標楷體"/>
                <w:sz w:val="22"/>
              </w:rPr>
              <w:t>準則七：研究溝通（Communication of Research）</w:t>
            </w:r>
          </w:p>
        </w:tc>
        <w:tc>
          <w:tcPr>
            <w:tcW w:type="dxa" w:w="4394"/>
          </w:tcPr>
          <w:p>
            <w:r>
              <w:rPr>
                <w:rFonts w:ascii="Times New Roman" w:hAnsi="Times New Roman" w:eastAsia="標楷體" w:cs="標楷體"/>
                <w:sz w:val="22"/>
              </w:rPr>
              <w:t>學術投稿（MDPI Forests 目標期刊）+ 開源程式碼（GitHub）</w:t>
            </w:r>
          </w:p>
        </w:tc>
      </w:tr>
    </w:tbl>
    <w:p/>
    <w:p>
      <w:pPr>
        <w:jc w:val="center"/>
      </w:pPr>
      <w:r>
        <w:rPr>
          <w:rFonts w:ascii="Times New Roman" w:hAnsi="Times New Roman" w:eastAsia="標楷體" w:cs="標楷體"/>
          <w:sz w:val="22"/>
        </w:rPr>
        <w:t>表 1-2　Hevner 七項準則與此專案設計對應</w:t>
      </w:r>
    </w:p>
    <w:p/>
    <w:p>
      <w:pPr>
        <w:pStyle w:val="Heading2"/>
      </w:pPr>
      <w:bookmarkStart w:id="8" w:name="_Toc10007"/>
      <w:r>
        <w:rPr>
          <w:rFonts w:ascii="Times New Roman" w:hAnsi="Times New Roman" w:eastAsia="標楷體" w:cs="標楷體"/>
          <w:sz w:val="26"/>
        </w:rPr>
        <w:t>1.5 論文架構</w:t>
      </w:r>
      <w:bookmarkEnd w:id="8"/>
    </w:p>
    <w:p>
      <w:pPr>
        <w:spacing w:after="120"/>
        <w:ind w:firstLine="480"/>
      </w:pPr>
      <w:r>
        <w:rPr>
          <w:rFonts w:ascii="Times New Roman" w:hAnsi="Times New Roman" w:eastAsia="標楷體" w:cs="標楷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bookmarkStart w:id="9" w:name="_Toc10008"/>
      <w:r>
        <w:rPr>
          <w:rFonts w:ascii="Times New Roman" w:hAnsi="Times New Roman" w:eastAsia="標楷體" w:cs="標楷體"/>
          <w:sz w:val="28"/>
        </w:rPr>
        <w:t>第二章　文獻探討</w:t>
      </w:r>
      <w:bookmarkEnd w:id="9"/>
    </w:p>
    <w:p>
      <w:pPr>
        <w:pStyle w:val="Heading2"/>
      </w:pPr>
      <w:bookmarkStart w:id="10" w:name="_Toc10009"/>
      <w:r>
        <w:rPr>
          <w:rFonts w:ascii="Times New Roman" w:hAnsi="Times New Roman" w:eastAsia="標楷體" w:cs="標楷體"/>
          <w:sz w:val="26"/>
        </w:rPr>
        <w:t>2.1 林地碳匯背景與永續治理框架</w:t>
      </w:r>
      <w:bookmarkEnd w:id="10"/>
    </w:p>
    <w:p>
      <w:pPr>
        <w:spacing w:after="120"/>
        <w:ind w:firstLine="480"/>
      </w:pPr>
      <w:r>
        <w:rPr>
          <w:rFonts w:ascii="Times New Roman" w:hAnsi="Times New Roman" w:eastAsia="標楷體" w:cs="標楷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Times New Roman" w:hAnsi="Times New Roman" w:eastAsia="標楷體" w:cs="標楷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Times New Roman" w:hAnsi="Times New Roman" w:eastAsia="標楷體" w:cs="標楷體"/>
          <w:sz w:val="24"/>
        </w:rPr>
        <w:t xml:space="preserve">臺灣碳權交易所（2023）已依此框架建立自願性碳市場交易平台，為國內碳匯憑證的流通奠定制度基礎。</w:t>
      </w:r>
    </w:p>
    <w:p>
      <w:pPr>
        <w:pStyle w:val="Heading2"/>
      </w:pPr>
      <w:bookmarkStart w:id="11" w:name="_Toc10010"/>
      <w:r>
        <w:rPr>
          <w:rFonts w:ascii="Times New Roman" w:hAnsi="Times New Roman" w:eastAsia="標楷體" w:cs="標楷體"/>
          <w:sz w:val="26"/>
        </w:rPr>
        <w:t>2.2 胸高直徑量測方法文獻</w:t>
      </w:r>
      <w:bookmarkEnd w:id="11"/>
    </w:p>
    <w:p>
      <w:pPr>
        <w:spacing w:after="120"/>
        <w:ind w:firstLine="480"/>
      </w:pPr>
      <w:r>
        <w:rPr>
          <w:rFonts w:ascii="Times New Roman" w:hAnsi="Times New Roman" w:eastAsia="標楷體" w:cs="標楷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Times New Roman" w:hAnsi="Times New Roman" w:eastAsia="標楷體" w:cs="標楷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Times New Roman" w:hAnsi="Times New Roman" w:eastAsia="標楷體" w:cs="標楷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Times New Roman" w:hAnsi="Times New Roman" w:eastAsia="標楷體" w:cs="標楷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Times New Roman" w:hAnsi="Times New Roman" w:eastAsia="標楷體" w:cs="標楷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bookmarkStart w:id="12" w:name="_Toc10011"/>
      <w:r>
        <w:rPr>
          <w:rFonts w:ascii="Times New Roman" w:hAnsi="Times New Roman" w:eastAsia="標楷體" w:cs="標楷體"/>
          <w:sz w:val="26"/>
        </w:rPr>
        <w:t>2.3 電腦視覺量測原理與薄透鏡公式</w:t>
      </w:r>
      <w:bookmarkEnd w:id="12"/>
    </w:p>
    <w:p>
      <w:pPr>
        <w:spacing w:after="120"/>
        <w:ind w:firstLine="480"/>
      </w:pPr>
      <w:r>
        <w:rPr>
          <w:rFonts w:ascii="Times New Roman" w:hAnsi="Times New Roman" w:eastAsia="標楷體" w:cs="標楷體"/>
          <w:sz w:val="24"/>
        </w:rPr>
        <w:t>薄透鏡公式（thin lens equation）是光學成像的基本理論，描述物距、像距與焦距的關係：</w:t>
      </w:r>
    </w:p>
    <w:p>
      <w:pPr>
        <w:spacing w:after="120"/>
        <w:jc w:val="center"/>
      </w:pPr>
      <w:r>
        <w:rPr>
          <w:rFonts w:ascii="Times New Roman" w:hAnsi="Times New Roman" w:eastAsia="標楷體" w:cs="標楷體"/>
          <w:b/>
          <w:sz w:val="24"/>
        </w:rPr>
        <w:t>1/f = 1/d_o + 1/d_i</w:t>
      </w:r>
    </w:p>
    <w:p>
      <w:pPr>
        <w:spacing w:after="120"/>
        <w:ind w:firstLine="480"/>
      </w:pPr>
      <w:r>
        <w:rPr>
          <w:rFonts w:ascii="Times New Roman" w:hAnsi="Times New Roman" w:eastAsia="標楷體" w:cs="標楷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rFonts w:ascii="Times New Roman" w:hAnsi="Times New Roman" w:eastAsia="標楷體" w:cs="標楷體"/>
          <w:b/>
          <w:sz w:val="24"/>
        </w:rPr>
        <w:t>D_real = D_pixel × (sensor_size / image_pixels) × (d_o / f)</w:t>
      </w:r>
    </w:p>
    <w:p>
      <w:pPr>
        <w:spacing w:after="120"/>
        <w:ind w:firstLine="480"/>
      </w:pPr>
      <w:r>
        <w:rPr>
          <w:rFonts w:ascii="Times New Roman" w:hAnsi="Times New Roman" w:eastAsia="標楷體" w:cs="標楷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Times New Roman" w:hAnsi="Times New Roman" w:eastAsia="標楷體" w:cs="標楷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Times New Roman" w:hAnsi="Times New Roman" w:eastAsia="標楷體" w:cs="標楷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eastAsia="標楷體" w:cs="標楷體"/>
                <w:b/>
                <w:sz w:val="22"/>
              </w:rPr>
              <w:t>識別碼（referenceType）</w:t>
            </w:r>
          </w:p>
        </w:tc>
        <w:tc>
          <w:tcPr>
            <w:tcW w:type="dxa" w:w="2197"/>
          </w:tcPr>
          <w:p>
            <w:r>
              <w:rPr>
                <w:rFonts w:ascii="Times New Roman" w:hAnsi="Times New Roman" w:eastAsia="標楷體" w:cs="標楷體"/>
                <w:b/>
                <w:sz w:val="22"/>
              </w:rPr>
              <w:t>物件名稱</w:t>
            </w:r>
          </w:p>
        </w:tc>
        <w:tc>
          <w:tcPr>
            <w:tcW w:type="dxa" w:w="2197"/>
          </w:tcPr>
          <w:p>
            <w:r>
              <w:rPr>
                <w:rFonts w:ascii="Times New Roman" w:hAnsi="Times New Roman" w:eastAsia="標楷體" w:cs="標楷體"/>
                <w:b/>
                <w:sz w:val="22"/>
              </w:rPr>
              <w:t>標準尺寸（長 × 寬）</w:t>
            </w:r>
          </w:p>
        </w:tc>
        <w:tc>
          <w:tcPr>
            <w:tcW w:type="dxa" w:w="2197"/>
          </w:tcPr>
          <w:p>
            <w:r>
              <w:rPr>
                <w:rFonts w:ascii="Times New Roman" w:hAnsi="Times New Roman" w:eastAsia="標楷體" w:cs="標楷體"/>
                <w:b/>
                <w:sz w:val="22"/>
              </w:rPr>
              <w:t>規範來源</w:t>
            </w:r>
          </w:p>
        </w:tc>
      </w:tr>
      <w:tr>
        <w:tc>
          <w:tcPr>
            <w:tcW w:type="dxa" w:w="2197"/>
          </w:tcPr>
          <w:p>
            <w:r>
              <w:rPr>
                <w:rFonts w:ascii="Times New Roman" w:hAnsi="Times New Roman" w:eastAsia="標楷體" w:cs="標楷體"/>
                <w:sz w:val="22"/>
              </w:rPr>
              <w:t>creditcard</w:t>
            </w:r>
          </w:p>
        </w:tc>
        <w:tc>
          <w:tcPr>
            <w:tcW w:type="dxa" w:w="2197"/>
          </w:tcPr>
          <w:p>
            <w:r>
              <w:rPr>
                <w:rFonts w:ascii="Times New Roman" w:hAnsi="Times New Roman" w:eastAsia="標楷體" w:cs="標楷體"/>
                <w:sz w:val="22"/>
              </w:rPr>
              <w:t>信用卡／金融卡</w:t>
            </w:r>
          </w:p>
        </w:tc>
        <w:tc>
          <w:tcPr>
            <w:tcW w:type="dxa" w:w="2197"/>
          </w:tcPr>
          <w:p>
            <w:r>
              <w:rPr>
                <w:rFonts w:ascii="Times New Roman" w:hAnsi="Times New Roman" w:eastAsia="標楷體" w:cs="標楷體"/>
                <w:sz w:val="22"/>
              </w:rPr>
              <w:t>85.6 × 53.98 mm</w:t>
            </w:r>
          </w:p>
        </w:tc>
        <w:tc>
          <w:tcPr>
            <w:tcW w:type="dxa" w:w="2197"/>
          </w:tcPr>
          <w:p>
            <w:r>
              <w:rPr>
                <w:rFonts w:ascii="Times New Roman" w:hAnsi="Times New Roman" w:eastAsia="標楷體" w:cs="標楷體"/>
                <w:sz w:val="22"/>
              </w:rPr>
              <w:t>ISO/IEC 7810 ID-1</w:t>
            </w:r>
          </w:p>
        </w:tc>
      </w:tr>
      <w:tr>
        <w:tc>
          <w:tcPr>
            <w:tcW w:type="dxa" w:w="2197"/>
          </w:tcPr>
          <w:p>
            <w:r>
              <w:rPr>
                <w:rFonts w:ascii="Times New Roman" w:hAnsi="Times New Roman" w:eastAsia="標楷體" w:cs="標楷體"/>
                <w:sz w:val="22"/>
              </w:rPr>
              <w:t>businesscard</w:t>
            </w:r>
          </w:p>
        </w:tc>
        <w:tc>
          <w:tcPr>
            <w:tcW w:type="dxa" w:w="2197"/>
          </w:tcPr>
          <w:p>
            <w:r>
              <w:rPr>
                <w:rFonts w:ascii="Times New Roman" w:hAnsi="Times New Roman" w:eastAsia="標楷體" w:cs="標楷體"/>
                <w:sz w:val="22"/>
              </w:rPr>
              <w:t>名片</w:t>
            </w:r>
          </w:p>
        </w:tc>
        <w:tc>
          <w:tcPr>
            <w:tcW w:type="dxa" w:w="2197"/>
          </w:tcPr>
          <w:p>
            <w:r>
              <w:rPr>
                <w:rFonts w:ascii="Times New Roman" w:hAnsi="Times New Roman" w:eastAsia="標楷體" w:cs="標楷體"/>
                <w:sz w:val="22"/>
              </w:rPr>
              <w:t>90 × 54 mm</w:t>
            </w:r>
          </w:p>
        </w:tc>
        <w:tc>
          <w:tcPr>
            <w:tcW w:type="dxa" w:w="2197"/>
          </w:tcPr>
          <w:p>
            <w:r>
              <w:rPr>
                <w:rFonts w:ascii="Times New Roman" w:hAnsi="Times New Roman" w:eastAsia="標楷體" w:cs="標楷體"/>
                <w:sz w:val="22"/>
              </w:rPr>
              <w:t>台灣業界常見規格</w:t>
            </w:r>
          </w:p>
        </w:tc>
      </w:tr>
      <w:tr>
        <w:tc>
          <w:tcPr>
            <w:tcW w:type="dxa" w:w="2197"/>
          </w:tcPr>
          <w:p>
            <w:r>
              <w:rPr>
                <w:rFonts w:ascii="Times New Roman" w:hAnsi="Times New Roman" w:eastAsia="標楷體" w:cs="標楷體"/>
                <w:sz w:val="22"/>
              </w:rPr>
              <w:t>a4</w:t>
            </w:r>
          </w:p>
        </w:tc>
        <w:tc>
          <w:tcPr>
            <w:tcW w:type="dxa" w:w="2197"/>
          </w:tcPr>
          <w:p>
            <w:r>
              <w:rPr>
                <w:rFonts w:ascii="Times New Roman" w:hAnsi="Times New Roman" w:eastAsia="標楷體" w:cs="標楷體"/>
                <w:sz w:val="22"/>
              </w:rPr>
              <w:t>A4 紙張</w:t>
            </w:r>
          </w:p>
        </w:tc>
        <w:tc>
          <w:tcPr>
            <w:tcW w:type="dxa" w:w="2197"/>
          </w:tcPr>
          <w:p>
            <w:r>
              <w:rPr>
                <w:rFonts w:ascii="Times New Roman" w:hAnsi="Times New Roman" w:eastAsia="標楷體" w:cs="標楷體"/>
                <w:sz w:val="22"/>
              </w:rPr>
              <w:t>210 × 297 mm</w:t>
            </w:r>
          </w:p>
        </w:tc>
        <w:tc>
          <w:tcPr>
            <w:tcW w:type="dxa" w:w="2197"/>
          </w:tcPr>
          <w:p>
            <w:r>
              <w:rPr>
                <w:rFonts w:ascii="Times New Roman" w:hAnsi="Times New Roman" w:eastAsia="標楷體" w:cs="標楷體"/>
                <w:sz w:val="22"/>
              </w:rPr>
              <w:t>ISO 216</w:t>
            </w:r>
          </w:p>
        </w:tc>
      </w:tr>
      <w:tr>
        <w:tc>
          <w:tcPr>
            <w:tcW w:type="dxa" w:w="2197"/>
          </w:tcPr>
          <w:p>
            <w:r>
              <w:rPr>
                <w:rFonts w:ascii="Times New Roman" w:hAnsi="Times New Roman" w:eastAsia="標楷體" w:cs="標楷體"/>
                <w:sz w:val="22"/>
              </w:rPr>
              <w:t>a5</w:t>
            </w:r>
          </w:p>
        </w:tc>
        <w:tc>
          <w:tcPr>
            <w:tcW w:type="dxa" w:w="2197"/>
          </w:tcPr>
          <w:p>
            <w:r>
              <w:rPr>
                <w:rFonts w:ascii="Times New Roman" w:hAnsi="Times New Roman" w:eastAsia="標楷體" w:cs="標楷體"/>
                <w:sz w:val="22"/>
              </w:rPr>
              <w:t>A5 紙張</w:t>
            </w:r>
          </w:p>
        </w:tc>
        <w:tc>
          <w:tcPr>
            <w:tcW w:type="dxa" w:w="2197"/>
          </w:tcPr>
          <w:p>
            <w:r>
              <w:rPr>
                <w:rFonts w:ascii="Times New Roman" w:hAnsi="Times New Roman" w:eastAsia="標楷體" w:cs="標楷體"/>
                <w:sz w:val="22"/>
              </w:rPr>
              <w:t>148 × 210 mm</w:t>
            </w:r>
          </w:p>
        </w:tc>
        <w:tc>
          <w:tcPr>
            <w:tcW w:type="dxa" w:w="2197"/>
          </w:tcPr>
          <w:p>
            <w:r>
              <w:rPr>
                <w:rFonts w:ascii="Times New Roman" w:hAnsi="Times New Roman" w:eastAsia="標楷體" w:cs="標楷體"/>
                <w:sz w:val="22"/>
              </w:rPr>
              <w:t>ISO 216</w:t>
            </w:r>
          </w:p>
        </w:tc>
      </w:tr>
      <w:tr>
        <w:tc>
          <w:tcPr>
            <w:tcW w:type="dxa" w:w="2197"/>
          </w:tcPr>
          <w:p>
            <w:r>
              <w:rPr>
                <w:rFonts w:ascii="Times New Roman" w:hAnsi="Times New Roman" w:eastAsia="標楷體" w:cs="標楷體"/>
                <w:sz w:val="22"/>
              </w:rPr>
              <w:t>b5notebook</w:t>
            </w:r>
          </w:p>
        </w:tc>
        <w:tc>
          <w:tcPr>
            <w:tcW w:type="dxa" w:w="2197"/>
          </w:tcPr>
          <w:p>
            <w:r>
              <w:rPr>
                <w:rFonts w:ascii="Times New Roman" w:hAnsi="Times New Roman" w:eastAsia="標楷體" w:cs="標楷體"/>
                <w:sz w:val="22"/>
              </w:rPr>
              <w:t>B5 筆記本</w:t>
            </w:r>
          </w:p>
        </w:tc>
        <w:tc>
          <w:tcPr>
            <w:tcW w:type="dxa" w:w="2197"/>
          </w:tcPr>
          <w:p>
            <w:r>
              <w:rPr>
                <w:rFonts w:ascii="Times New Roman" w:hAnsi="Times New Roman" w:eastAsia="標楷體" w:cs="標楷體"/>
                <w:sz w:val="22"/>
              </w:rPr>
              <w:t>182 × 257 mm</w:t>
            </w:r>
          </w:p>
        </w:tc>
        <w:tc>
          <w:tcPr>
            <w:tcW w:type="dxa" w:w="2197"/>
          </w:tcPr>
          <w:p>
            <w:r>
              <w:rPr>
                <w:rFonts w:ascii="Times New Roman" w:hAnsi="Times New Roman" w:eastAsia="標楷體" w:cs="標楷體"/>
                <w:sz w:val="22"/>
              </w:rPr>
              <w:t>JIS P0138-61</w:t>
            </w:r>
          </w:p>
        </w:tc>
      </w:tr>
      <w:tr>
        <w:tc>
          <w:tcPr>
            <w:tcW w:type="dxa" w:w="2197"/>
          </w:tcPr>
          <w:p>
            <w:r>
              <w:rPr>
                <w:rFonts w:ascii="Times New Roman" w:hAnsi="Times New Roman" w:eastAsia="標楷體" w:cs="標楷體"/>
                <w:sz w:val="22"/>
              </w:rPr>
              <w:t>ruler30</w:t>
            </w:r>
          </w:p>
        </w:tc>
        <w:tc>
          <w:tcPr>
            <w:tcW w:type="dxa" w:w="2197"/>
          </w:tcPr>
          <w:p>
            <w:r>
              <w:rPr>
                <w:rFonts w:ascii="Times New Roman" w:hAnsi="Times New Roman" w:eastAsia="標楷體" w:cs="標楷體"/>
                <w:sz w:val="22"/>
              </w:rPr>
              <w:t>30 公分直尺</w:t>
            </w:r>
          </w:p>
        </w:tc>
        <w:tc>
          <w:tcPr>
            <w:tcW w:type="dxa" w:w="2197"/>
          </w:tcPr>
          <w:p>
            <w:r>
              <w:rPr>
                <w:rFonts w:ascii="Times New Roman" w:hAnsi="Times New Roman" w:eastAsia="標楷體" w:cs="標楷體"/>
                <w:sz w:val="22"/>
              </w:rPr>
              <w:t>300 × 約 30 mm</w:t>
            </w:r>
          </w:p>
        </w:tc>
        <w:tc>
          <w:tcPr>
            <w:tcW w:type="dxa" w:w="2197"/>
          </w:tcPr>
          <w:p>
            <w:r>
              <w:rPr>
                <w:rFonts w:ascii="Times New Roman" w:hAnsi="Times New Roman" w:eastAsia="標楷體" w:cs="標楷體"/>
                <w:sz w:val="22"/>
              </w:rPr>
              <w:t>台灣文具通用規格</w:t>
            </w:r>
          </w:p>
        </w:tc>
      </w:tr>
      <w:tr>
        <w:tc>
          <w:tcPr>
            <w:tcW w:type="dxa" w:w="2197"/>
          </w:tcPr>
          <w:p>
            <w:r>
              <w:rPr>
                <w:rFonts w:ascii="Times New Roman" w:hAnsi="Times New Roman" w:eastAsia="標楷體" w:cs="標楷體"/>
                <w:sz w:val="22"/>
              </w:rPr>
              <w:t>ruler100</w:t>
            </w:r>
          </w:p>
        </w:tc>
        <w:tc>
          <w:tcPr>
            <w:tcW w:type="dxa" w:w="2197"/>
          </w:tcPr>
          <w:p>
            <w:r>
              <w:rPr>
                <w:rFonts w:ascii="Times New Roman" w:hAnsi="Times New Roman" w:eastAsia="標楷體" w:cs="標楷體"/>
                <w:sz w:val="22"/>
              </w:rPr>
              <w:t>100 公分直尺／捲尺</w:t>
            </w:r>
          </w:p>
        </w:tc>
        <w:tc>
          <w:tcPr>
            <w:tcW w:type="dxa" w:w="2197"/>
          </w:tcPr>
          <w:p>
            <w:r>
              <w:rPr>
                <w:rFonts w:ascii="Times New Roman" w:hAnsi="Times New Roman" w:eastAsia="標楷體" w:cs="標楷體"/>
                <w:sz w:val="22"/>
              </w:rPr>
              <w:t>1000 × 約 30 mm</w:t>
            </w:r>
          </w:p>
        </w:tc>
        <w:tc>
          <w:tcPr>
            <w:tcW w:type="dxa" w:w="2197"/>
          </w:tcPr>
          <w:p>
            <w:r>
              <w:rPr>
                <w:rFonts w:ascii="Times New Roman" w:hAnsi="Times New Roman" w:eastAsia="標楷體" w:cs="標楷體"/>
                <w:sz w:val="22"/>
              </w:rPr>
              <w:t>台灣文具通用規格</w:t>
            </w:r>
          </w:p>
        </w:tc>
      </w:tr>
      <w:tr>
        <w:tc>
          <w:tcPr>
            <w:tcW w:type="dxa" w:w="2197"/>
          </w:tcPr>
          <w:p>
            <w:r>
              <w:rPr>
                <w:rFonts w:ascii="Times New Roman" w:hAnsi="Times New Roman" w:eastAsia="標楷體" w:cs="標楷體"/>
                <w:sz w:val="22"/>
              </w:rPr>
              <w:t>banknote100</w:t>
            </w:r>
          </w:p>
        </w:tc>
        <w:tc>
          <w:tcPr>
            <w:tcW w:type="dxa" w:w="2197"/>
          </w:tcPr>
          <w:p>
            <w:r>
              <w:rPr>
                <w:rFonts w:ascii="Times New Roman" w:hAnsi="Times New Roman" w:eastAsia="標楷體" w:cs="標楷體"/>
                <w:sz w:val="22"/>
              </w:rPr>
              <w:t>新台幣 100 元紙鈔</w:t>
            </w:r>
          </w:p>
        </w:tc>
        <w:tc>
          <w:tcPr>
            <w:tcW w:type="dxa" w:w="2197"/>
          </w:tcPr>
          <w:p>
            <w:r>
              <w:rPr>
                <w:rFonts w:ascii="Times New Roman" w:hAnsi="Times New Roman" w:eastAsia="標楷體" w:cs="標楷體"/>
                <w:sz w:val="22"/>
              </w:rPr>
              <w:t>145 × 70 mm</w:t>
            </w:r>
          </w:p>
        </w:tc>
        <w:tc>
          <w:tcPr>
            <w:tcW w:type="dxa" w:w="2197"/>
          </w:tcPr>
          <w:p>
            <w:r>
              <w:rPr>
                <w:rFonts w:ascii="Times New Roman" w:hAnsi="Times New Roman" w:eastAsia="標楷體" w:cs="標楷體"/>
                <w:sz w:val="22"/>
              </w:rPr>
              <w:t>中央銀行公告規格</w:t>
            </w:r>
          </w:p>
        </w:tc>
      </w:tr>
      <w:tr>
        <w:tc>
          <w:tcPr>
            <w:tcW w:type="dxa" w:w="2197"/>
          </w:tcPr>
          <w:p>
            <w:r>
              <w:rPr>
                <w:rFonts w:ascii="Times New Roman" w:hAnsi="Times New Roman" w:eastAsia="標楷體" w:cs="標楷體"/>
                <w:sz w:val="22"/>
              </w:rPr>
              <w:t>banknote500</w:t>
            </w:r>
          </w:p>
        </w:tc>
        <w:tc>
          <w:tcPr>
            <w:tcW w:type="dxa" w:w="2197"/>
          </w:tcPr>
          <w:p>
            <w:r>
              <w:rPr>
                <w:rFonts w:ascii="Times New Roman" w:hAnsi="Times New Roman" w:eastAsia="標楷體" w:cs="標楷體"/>
                <w:sz w:val="22"/>
              </w:rPr>
              <w:t>新台幣 500 元紙鈔</w:t>
            </w:r>
          </w:p>
        </w:tc>
        <w:tc>
          <w:tcPr>
            <w:tcW w:type="dxa" w:w="2197"/>
          </w:tcPr>
          <w:p>
            <w:r>
              <w:rPr>
                <w:rFonts w:ascii="Times New Roman" w:hAnsi="Times New Roman" w:eastAsia="標楷體" w:cs="標楷體"/>
                <w:sz w:val="22"/>
              </w:rPr>
              <w:t>155 × 70 mm</w:t>
            </w:r>
          </w:p>
        </w:tc>
        <w:tc>
          <w:tcPr>
            <w:tcW w:type="dxa" w:w="2197"/>
          </w:tcPr>
          <w:p>
            <w:r>
              <w:rPr>
                <w:rFonts w:ascii="Times New Roman" w:hAnsi="Times New Roman" w:eastAsia="標楷體" w:cs="標楷體"/>
                <w:sz w:val="22"/>
              </w:rPr>
              <w:t>中央銀行公告規格</w:t>
            </w:r>
          </w:p>
        </w:tc>
      </w:tr>
      <w:tr>
        <w:tc>
          <w:tcPr>
            <w:tcW w:type="dxa" w:w="2197"/>
          </w:tcPr>
          <w:p>
            <w:r>
              <w:rPr>
                <w:rFonts w:ascii="Times New Roman" w:hAnsi="Times New Roman" w:eastAsia="標楷體" w:cs="標楷體"/>
                <w:sz w:val="22"/>
              </w:rPr>
              <w:t>banknote1000</w:t>
            </w:r>
          </w:p>
        </w:tc>
        <w:tc>
          <w:tcPr>
            <w:tcW w:type="dxa" w:w="2197"/>
          </w:tcPr>
          <w:p>
            <w:r>
              <w:rPr>
                <w:rFonts w:ascii="Times New Roman" w:hAnsi="Times New Roman" w:eastAsia="標楷體" w:cs="標楷體"/>
                <w:sz w:val="22"/>
              </w:rPr>
              <w:t>新台幣 1000 元紙鈔</w:t>
            </w:r>
          </w:p>
        </w:tc>
        <w:tc>
          <w:tcPr>
            <w:tcW w:type="dxa" w:w="2197"/>
          </w:tcPr>
          <w:p>
            <w:r>
              <w:rPr>
                <w:rFonts w:ascii="Times New Roman" w:hAnsi="Times New Roman" w:eastAsia="標楷體" w:cs="標楷體"/>
                <w:sz w:val="22"/>
              </w:rPr>
              <w:t>160 × 70 mm</w:t>
            </w:r>
          </w:p>
        </w:tc>
        <w:tc>
          <w:tcPr>
            <w:tcW w:type="dxa" w:w="2197"/>
          </w:tcPr>
          <w:p>
            <w:r>
              <w:rPr>
                <w:rFonts w:ascii="Times New Roman" w:hAnsi="Times New Roman" w:eastAsia="標楷體" w:cs="標楷體"/>
                <w:sz w:val="22"/>
              </w:rPr>
              <w:t>中央銀行公告規格</w:t>
            </w:r>
          </w:p>
        </w:tc>
      </w:tr>
      <w:tr>
        <w:tc>
          <w:tcPr>
            <w:tcW w:type="dxa" w:w="2197"/>
          </w:tcPr>
          <w:p>
            <w:r>
              <w:rPr>
                <w:rFonts w:ascii="Times New Roman" w:hAnsi="Times New Roman" w:eastAsia="標楷體" w:cs="標楷體"/>
                <w:sz w:val="22"/>
              </w:rPr>
              <w:t>unknown</w:t>
            </w:r>
          </w:p>
        </w:tc>
        <w:tc>
          <w:tcPr>
            <w:tcW w:type="dxa" w:w="2197"/>
          </w:tcPr>
          <w:p>
            <w:r>
              <w:rPr>
                <w:rFonts w:ascii="Times New Roman" w:hAnsi="Times New Roman" w:eastAsia="標楷體" w:cs="標楷體"/>
                <w:sz w:val="22"/>
              </w:rPr>
              <w:t>其他（Gemini 估算）</w:t>
            </w:r>
          </w:p>
        </w:tc>
        <w:tc>
          <w:tcPr>
            <w:tcW w:type="dxa" w:w="2197"/>
          </w:tcPr>
          <w:p>
            <w:r>
              <w:rPr>
                <w:rFonts w:ascii="Times New Roman" w:hAnsi="Times New Roman" w:eastAsia="標楷體" w:cs="標楷體"/>
                <w:sz w:val="22"/>
              </w:rPr>
              <w:t>由模型回傳估計毫米數</w:t>
            </w:r>
          </w:p>
        </w:tc>
        <w:tc>
          <w:tcPr>
            <w:tcW w:type="dxa" w:w="2197"/>
          </w:tcPr>
          <w:p>
            <w:r>
              <w:rPr>
                <w:rFonts w:ascii="Times New Roman" w:hAnsi="Times New Roman" w:eastAsia="標楷體" w:cs="標楷體"/>
                <w:sz w:val="22"/>
              </w:rPr>
              <w:t>無預設規格，逐張動態判定</w:t>
            </w:r>
          </w:p>
        </w:tc>
      </w:tr>
    </w:tbl>
    <w:p/>
    <w:p>
      <w:pPr>
        <w:jc w:val="center"/>
      </w:pPr>
      <w:r>
        <w:rPr>
          <w:rFonts w:ascii="Times New Roman" w:hAnsi="Times New Roman" w:eastAsia="標楷體" w:cs="標楷體"/>
          <w:sz w:val="22"/>
        </w:rPr>
        <w:t>表 2-1　系統支援之 11 類實體參照物規格</w:t>
      </w:r>
    </w:p>
    <w:p/>
    <w:p>
      <w:pPr>
        <w:pStyle w:val="Heading2"/>
      </w:pPr>
      <w:bookmarkStart w:id="13" w:name="_Toc10012"/>
      <w:r>
        <w:rPr>
          <w:rFonts w:ascii="Times New Roman" w:hAnsi="Times New Roman" w:eastAsia="標楷體" w:cs="標楷體"/>
          <w:sz w:val="26"/>
        </w:rPr>
        <w:t>2.4 AI 樹種辨識技術</w:t>
      </w:r>
      <w:bookmarkEnd w:id="13"/>
    </w:p>
    <w:p>
      <w:pPr>
        <w:spacing w:after="120"/>
        <w:ind w:firstLine="480"/>
      </w:pPr>
      <w:r>
        <w:rPr>
          <w:rFonts w:ascii="Times New Roman" w:hAnsi="Times New Roman" w:eastAsia="標楷體" w:cs="標楷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Times New Roman" w:hAnsi="Times New Roman" w:eastAsia="標楷體" w:cs="標楷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Times New Roman" w:hAnsi="Times New Roman" w:eastAsia="標楷體" w:cs="標楷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bookmarkStart w:id="14" w:name="_Toc10013"/>
      <w:r>
        <w:rPr>
          <w:rFonts w:ascii="Times New Roman" w:hAnsi="Times New Roman" w:eastAsia="標楷體" w:cs="標楷體"/>
          <w:sz w:val="26"/>
        </w:rPr>
        <w:t>2.5 碳匯量化標準與 IPCC 規範</w:t>
      </w:r>
      <w:bookmarkEnd w:id="14"/>
    </w:p>
    <w:p>
      <w:pPr>
        <w:spacing w:after="120"/>
        <w:ind w:firstLine="480"/>
      </w:pPr>
      <w:r>
        <w:rPr>
          <w:rFonts w:ascii="Times New Roman" w:hAnsi="Times New Roman" w:eastAsia="標楷體" w:cs="標楷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Times New Roman" w:hAnsi="Times New Roman" w:eastAsia="標楷體" w:cs="標楷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Times New Roman" w:hAnsi="Times New Roman" w:eastAsia="標楷體" w:cs="標楷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bookmarkStart w:id="15" w:name="_Toc10014"/>
      <w:r>
        <w:rPr>
          <w:rFonts w:ascii="Times New Roman" w:hAnsi="Times New Roman" w:eastAsia="標楷體" w:cs="標楷體"/>
          <w:sz w:val="26"/>
        </w:rPr>
        <w:t>2.6 區塊鏈於碳匯管理的應用</w:t>
      </w:r>
      <w:bookmarkEnd w:id="15"/>
    </w:p>
    <w:p>
      <w:pPr>
        <w:spacing w:after="120"/>
        <w:ind w:firstLine="480"/>
      </w:pPr>
      <w:r>
        <w:rPr>
          <w:rFonts w:ascii="Times New Roman" w:hAnsi="Times New Roman" w:eastAsia="標楷體" w:cs="標楷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Times New Roman" w:hAnsi="Times New Roman" w:eastAsia="標楷體" w:cs="標楷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Times New Roman" w:hAnsi="Times New Roman" w:eastAsia="標楷體" w:cs="標楷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Times New Roman" w:hAnsi="Times New Roman" w:eastAsia="標楷體" w:cs="標楷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bookmarkStart w:id="16" w:name="_Toc10015"/>
      <w:r>
        <w:rPr>
          <w:rFonts w:ascii="Times New Roman" w:hAnsi="Times New Roman" w:eastAsia="標楷體" w:cs="標楷體"/>
          <w:sz w:val="26"/>
        </w:rPr>
        <w:t>2.7 統計評估方法與 設計科學研究法 嚴謹性</w:t>
      </w:r>
      <w:bookmarkEnd w:id="16"/>
    </w:p>
    <w:p>
      <w:pPr>
        <w:spacing w:after="120"/>
        <w:ind w:firstLine="480"/>
      </w:pPr>
      <w:r>
        <w:rPr>
          <w:rFonts w:ascii="Times New Roman" w:hAnsi="Times New Roman" w:eastAsia="標楷體" w:cs="標楷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Times New Roman" w:hAnsi="Times New Roman" w:eastAsia="標楷體" w:cs="標楷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rPr>
          <w:rFonts w:ascii="Times New Roman" w:hAnsi="Times New Roman" w:eastAsia="標楷體" w:cs="標楷體"/>
        </w:rP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rPr>
          <w:rFonts w:ascii="Times New Roman" w:hAnsi="Times New Roman" w:eastAsia="標楷體" w:cs="標楷體"/>
        </w:rP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bookmarkStart w:id="17" w:name="_Toc10016"/>
      <w:r>
        <w:rPr>
          <w:rFonts w:ascii="Times New Roman" w:hAnsi="Times New Roman" w:eastAsia="標楷體" w:cs="標楷體"/>
        </w:rPr>
        <w:t xml:space="preserve">2.8 碳匯共享價值與系統性變革框架</w:t>
      </w:r>
      <w:bookmarkEnd w:id="17"/>
    </w:p>
    <w:p>
      <w:pPr>
        <w:pStyle w:val="Heading2"/>
      </w:pPr>
      <w:bookmarkStart w:id="18" w:name="_Toc10017"/>
      <w:r>
        <w:rPr>
          <w:rFonts w:ascii="Times New Roman" w:hAnsi="Times New Roman" w:eastAsia="標楷體" w:cs="標楷體"/>
          <w:sz w:val="26"/>
        </w:rPr>
        <w:t>2.9 文獻缺口與此專案定位</w:t>
      </w:r>
      <w:bookmarkEnd w:id="18"/>
    </w:p>
    <w:p>
      <w:pPr>
        <w:spacing w:after="120"/>
        <w:ind w:firstLine="480"/>
      </w:pPr>
      <w:r>
        <w:rPr>
          <w:rFonts w:ascii="Times New Roman" w:hAnsi="Times New Roman" w:eastAsia="標楷體" w:cs="標楷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b/>
                <w:sz w:val="22"/>
              </w:rPr>
              <w:t>文獻缺口</w:t>
            </w:r>
          </w:p>
        </w:tc>
        <w:tc>
          <w:tcPr>
            <w:tcW w:type="dxa" w:w="2929"/>
          </w:tcPr>
          <w:p>
            <w:r>
              <w:rPr>
                <w:rFonts w:ascii="Times New Roman" w:hAnsi="Times New Roman" w:eastAsia="標楷體" w:cs="標楷體"/>
                <w:b/>
                <w:sz w:val="22"/>
              </w:rPr>
              <w:t>現有研究範疇</w:t>
            </w:r>
          </w:p>
        </w:tc>
        <w:tc>
          <w:tcPr>
            <w:tcW w:type="dxa" w:w="2929"/>
          </w:tcPr>
          <w:p>
            <w:r>
              <w:rPr>
                <w:rFonts w:ascii="Times New Roman" w:hAnsi="Times New Roman" w:eastAsia="標楷體" w:cs="標楷體"/>
                <w:b/>
                <w:sz w:val="22"/>
              </w:rPr>
              <w:t>此專案填補方式</w:t>
            </w:r>
          </w:p>
        </w:tc>
      </w:tr>
      <w:tr>
        <w:tc>
          <w:tcPr>
            <w:tcW w:type="dxa" w:w="2929"/>
          </w:tcPr>
          <w:p>
            <w:r>
              <w:rPr>
                <w:rFonts w:ascii="Times New Roman" w:hAnsi="Times New Roman" w:eastAsia="標楷體" w:cs="標楷體"/>
                <w:sz w:val="22"/>
              </w:rPr>
              <w:t>低成本行動端胸高直徑量測</w:t>
            </w:r>
          </w:p>
        </w:tc>
        <w:tc>
          <w:tcPr>
            <w:tcW w:type="dxa" w:w="2929"/>
          </w:tcPr>
          <w:p>
            <w:r>
              <w:rPr>
                <w:rFonts w:ascii="Times New Roman" w:hAnsi="Times New Roman" w:eastAsia="標楷體" w:cs="標楷體"/>
                <w:sz w:val="22"/>
              </w:rPr>
              <w:t>傳統捲尺/游標卡尺；T-LiDAR 設備昂貴</w:t>
            </w:r>
          </w:p>
        </w:tc>
        <w:tc>
          <w:tcPr>
            <w:tcW w:type="dxa" w:w="2929"/>
          </w:tcPr>
          <w:p>
            <w:r>
              <w:rPr>
                <w:rFonts w:ascii="Times New Roman" w:hAnsi="Times New Roman" w:eastAsia="標楷體" w:cs="標楷體"/>
                <w:sz w:val="22"/>
              </w:rPr>
              <w:t>光學字元辨識（OCR）直讀、參照物比例與薄透鏡公式三路徑優先級設計，僅需一般手機</w:t>
            </w:r>
          </w:p>
        </w:tc>
      </w:tr>
      <w:tr>
        <w:tc>
          <w:tcPr>
            <w:tcW w:type="dxa" w:w="2929"/>
          </w:tcPr>
          <w:p>
            <w:r>
              <w:rPr>
                <w:rFonts w:ascii="Times New Roman" w:hAnsi="Times New Roman" w:eastAsia="標楷體" w:cs="標楷體"/>
                <w:sz w:val="22"/>
              </w:rPr>
              <w:t>量測系統性誤差自我修正</w:t>
            </w:r>
          </w:p>
        </w:tc>
        <w:tc>
          <w:tcPr>
            <w:tcW w:type="dxa" w:w="2929"/>
          </w:tcPr>
          <w:p>
            <w:r>
              <w:rPr>
                <w:rFonts w:ascii="Times New Roman" w:hAnsi="Times New Roman" w:eastAsia="標楷體" w:cs="標楷體"/>
                <w:sz w:val="22"/>
              </w:rPr>
              <w:t>量測值固定輸出，無回饋修正機制</w:t>
            </w:r>
          </w:p>
        </w:tc>
        <w:tc>
          <w:tcPr>
            <w:tcW w:type="dxa" w:w="2929"/>
          </w:tcPr>
          <w:p>
            <w:r>
              <w:rPr>
                <w:rFonts w:ascii="Times New Roman" w:hAnsi="Times New Roman" w:eastAsia="標楷體" w:cs="標楷體"/>
                <w:sz w:val="22"/>
              </w:rPr>
              <w:t>加權修正因子自演進演算法（correction_factor_log）</w:t>
            </w:r>
          </w:p>
        </w:tc>
      </w:tr>
      <w:tr>
        <w:tc>
          <w:tcPr>
            <w:tcW w:type="dxa" w:w="2929"/>
          </w:tcPr>
          <w:p>
            <w:r>
              <w:rPr>
                <w:rFonts w:ascii="Times New Roman" w:hAnsi="Times New Roman" w:eastAsia="標楷體" w:cs="標楷體"/>
                <w:sz w:val="22"/>
              </w:rPr>
              <w:t>碳匯記錄不可竄改存證</w:t>
            </w:r>
          </w:p>
        </w:tc>
        <w:tc>
          <w:tcPr>
            <w:tcW w:type="dxa" w:w="2929"/>
          </w:tcPr>
          <w:p>
            <w:r>
              <w:rPr>
                <w:rFonts w:ascii="Times New Roman" w:hAnsi="Times New Roman" w:eastAsia="標楷體" w:cs="標楷體"/>
                <w:sz w:val="22"/>
              </w:rPr>
              <w:t>集中式資料庫，可人工竄改</w:t>
            </w:r>
          </w:p>
        </w:tc>
        <w:tc>
          <w:tcPr>
            <w:tcW w:type="dxa" w:w="2929"/>
          </w:tcPr>
          <w:p>
            <w:r>
              <w:rPr>
                <w:rFonts w:ascii="Times New Roman" w:hAnsi="Times New Roman" w:eastAsia="標楷體" w:cs="標楷體"/>
                <w:sz w:val="22"/>
              </w:rPr>
              <w:t>CarbonCredit.sol 智能合約，Hyperledger Besu 私鏈存證</w:t>
            </w:r>
          </w:p>
        </w:tc>
      </w:tr>
      <w:tr>
        <w:tc>
          <w:tcPr>
            <w:tcW w:type="dxa" w:w="2929"/>
          </w:tcPr>
          <w:p>
            <w:r>
              <w:rPr>
                <w:rFonts w:ascii="Times New Roman" w:hAnsi="Times New Roman" w:eastAsia="標楷體" w:cs="標楷體"/>
                <w:sz w:val="22"/>
              </w:rPr>
              <w:t>碎片化地主的制度參與門檻</w:t>
            </w:r>
          </w:p>
        </w:tc>
        <w:tc>
          <w:tcPr>
            <w:tcW w:type="dxa" w:w="2929"/>
          </w:tcPr>
          <w:p>
            <w:r>
              <w:rPr>
                <w:rFonts w:ascii="Times New Roman" w:hAnsi="Times New Roman" w:eastAsia="標楷體" w:cs="標楷體"/>
                <w:sz w:val="22"/>
              </w:rPr>
              <w:t>碳匯認證流程複雜，資料蒐集成本高</w:t>
            </w:r>
          </w:p>
        </w:tc>
        <w:tc>
          <w:tcPr>
            <w:tcW w:type="dxa" w:w="2929"/>
          </w:tcPr>
          <w:p>
            <w:r>
              <w:rPr>
                <w:rFonts w:ascii="Times New Roman" w:hAnsi="Times New Roman" w:eastAsia="標楷體" w:cs="標楷體"/>
                <w:sz w:val="22"/>
              </w:rPr>
              <w:t>MVP 平台降低現場操作門檻，支援 NDCs 框架推廣</w:t>
            </w:r>
          </w:p>
        </w:tc>
      </w:tr>
      <w:tr>
        <w:tc>
          <w:tcPr>
            <w:tcW w:type="dxa" w:w="2929"/>
          </w:tcPr>
          <w:p>
            <w:r>
              <w:rPr>
                <w:rFonts w:ascii="Times New Roman" w:hAnsi="Times New Roman" w:eastAsia="標楷體" w:cs="標楷體"/>
                <w:sz w:val="22"/>
              </w:rPr>
              <w:t>設計科學研究法 雙軌評估（技術 + 專家）</w:t>
            </w:r>
          </w:p>
        </w:tc>
        <w:tc>
          <w:tcPr>
            <w:tcW w:type="dxa" w:w="2929"/>
          </w:tcPr>
          <w:p>
            <w:r>
              <w:rPr>
                <w:rFonts w:ascii="Times New Roman" w:hAnsi="Times New Roman" w:eastAsia="標楷體" w:cs="標楷體"/>
                <w:sz w:val="22"/>
              </w:rPr>
              <w:t>量化指標（平均絕對百分比誤差 / R² / Bootstrap 信賴區間）＋ Hevner 七項設計科學準則並行評估</w:t>
            </w:r>
          </w:p>
        </w:tc>
        <w:tc>
          <w:tcPr>
            <w:tcW w:type="dxa" w:w="2929"/>
          </w:tcPr>
          <w:p>
            <w:r>
              <w:rPr>
                <w:rFonts w:ascii="Times New Roman" w:hAnsi="Times New Roman" w:eastAsia="標楷體" w:cs="標楷體"/>
                <w:sz w:val="22"/>
              </w:rPr>
              <w:t>量化指標（平均絕對百分比誤差 / R² / Bootstrap 信賴區間）＋ Hevner 七項設計科學準則並行評估</w:t>
            </w:r>
          </w:p>
        </w:tc>
      </w:tr>
    </w:tbl>
    <w:p/>
    <w:p>
      <w:pPr>
        <w:jc w:val="center"/>
      </w:pPr>
      <w:r>
        <w:rPr>
          <w:rFonts w:ascii="Times New Roman" w:hAnsi="Times New Roman" w:eastAsia="標楷體" w:cs="標楷體"/>
          <w:sz w:val="22"/>
        </w:rPr>
        <w:t>表 2-2　現有文獻缺口與此專案填補方式</w:t>
      </w:r>
    </w:p>
    <w:p/>
    <w:p>
      <w:pPr>
        <w:spacing w:after="120"/>
        <w:ind w:firstLine="480"/>
      </w:pPr>
      <w:r>
        <w:rPr>
          <w:rFonts w:ascii="Times New Roman" w:hAnsi="Times New Roman" w:eastAsia="標楷體" w:cs="標楷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Times New Roman" w:hAnsi="Times New Roman" w:eastAsia="標楷體" w:cs="標楷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Times New Roman" w:hAnsi="Times New Roman" w:eastAsia="標楷體" w:cs="標楷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bookmarkStart w:id="19" w:name="_Toc10018"/>
      <w:r>
        <w:rPr>
          <w:rFonts w:ascii="Times New Roman" w:hAnsi="Times New Roman" w:eastAsia="標楷體" w:cs="標楷體"/>
          <w:sz w:val="28"/>
        </w:rPr>
        <w:t>第三章　設計與發展解決方案</w:t>
      </w:r>
      <w:bookmarkEnd w:id="19"/>
    </w:p>
    <w:p>
      <w:pPr>
        <w:pStyle w:val="Heading2"/>
      </w:pPr>
      <w:bookmarkStart w:id="20" w:name="_Toc10019"/>
      <w:r>
        <w:rPr>
          <w:rFonts w:ascii="Times New Roman" w:hAnsi="Times New Roman" w:eastAsia="標楷體" w:cs="標楷體"/>
        </w:rPr>
        <w:t xml:space="preserve">3.1 問題確認</w:t>
      </w:r>
      <w:bookmarkEnd w:id="20"/>
    </w:p>
    <w:p>
      <w:r>
        <w:rPr>
          <w:rFonts w:ascii="Times New Roman" w:hAnsi="Times New Roman" w:eastAsia="標楷體" w:cs="標楷體"/>
        </w:rP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rPr>
          <w:rFonts w:ascii="Times New Roman" w:hAnsi="Times New Roman" w:eastAsia="標楷體" w:cs="標楷體"/>
        </w:rP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bookmarkStart w:id="21" w:name="_Toc10020"/>
      <w:r>
        <w:rPr>
          <w:rFonts w:ascii="Times New Roman" w:hAnsi="Times New Roman" w:eastAsia="標楷體" w:cs="標楷體"/>
          <w:sz w:val="26"/>
        </w:rPr>
        <w:t>3.2 系統架構概覽</w:t>
      </w:r>
      <w:bookmarkEnd w:id="21"/>
    </w:p>
    <w:p>
      <w:pPr>
        <w:spacing w:after="120"/>
        <w:ind w:firstLine="480"/>
      </w:pPr>
      <w:r>
        <w:rPr>
          <w:rFonts w:ascii="Times New Roman" w:hAnsi="Times New Roman" w:eastAsia="標楷體" w:cs="標楷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eastAsia="標楷體" w:cs="標楷體"/>
                <w:b/>
                <w:sz w:val="22"/>
              </w:rPr>
              <w:t>支柱</w:t>
            </w:r>
          </w:p>
        </w:tc>
        <w:tc>
          <w:tcPr>
            <w:tcW w:type="dxa" w:w="2197"/>
          </w:tcPr>
          <w:p>
            <w:r>
              <w:rPr>
                <w:rFonts w:ascii="Times New Roman" w:hAnsi="Times New Roman" w:eastAsia="標楷體" w:cs="標楷體"/>
                <w:b/>
                <w:sz w:val="22"/>
              </w:rPr>
              <w:t>核心功能</w:t>
            </w:r>
          </w:p>
        </w:tc>
        <w:tc>
          <w:tcPr>
            <w:tcW w:type="dxa" w:w="2197"/>
          </w:tcPr>
          <w:p>
            <w:r>
              <w:rPr>
                <w:rFonts w:ascii="Times New Roman" w:hAnsi="Times New Roman" w:eastAsia="標楷體" w:cs="標楷體"/>
                <w:b/>
                <w:sz w:val="22"/>
              </w:rPr>
              <w:t>主要技術元件</w:t>
            </w:r>
          </w:p>
        </w:tc>
        <w:tc>
          <w:tcPr>
            <w:tcW w:type="dxa" w:w="2197"/>
          </w:tcPr>
          <w:p>
            <w:r>
              <w:rPr>
                <w:rFonts w:ascii="Times New Roman" w:hAnsi="Times New Roman" w:eastAsia="標楷體" w:cs="標楷體"/>
                <w:b/>
                <w:sz w:val="22"/>
              </w:rPr>
              <w:t>對應研究問題</w:t>
            </w:r>
          </w:p>
        </w:tc>
      </w:tr>
      <w:tr>
        <w:tc>
          <w:tcPr>
            <w:tcW w:type="dxa" w:w="2197"/>
          </w:tcPr>
          <w:p>
            <w:r>
              <w:rPr>
                <w:rFonts w:ascii="Times New Roman" w:hAnsi="Times New Roman" w:eastAsia="標楷體" w:cs="標楷體"/>
                <w:sz w:val="22"/>
              </w:rPr>
              <w:t>支柱一</w:t>
              <w:br/>
              <w:t>影片量測引擎</w:t>
            </w:r>
          </w:p>
        </w:tc>
        <w:tc>
          <w:tcPr>
            <w:tcW w:type="dxa" w:w="2197"/>
          </w:tcPr>
          <w:p>
            <w:r>
              <w:rPr>
                <w:rFonts w:ascii="Times New Roman" w:hAnsi="Times New Roman" w:eastAsia="標楷體" w:cs="標楷體"/>
                <w:sz w:val="22"/>
              </w:rPr>
              <w:t>從手機影片估算胸高直徑</w:t>
              <w:br/>
              <w:t>樹種辨識</w:t>
              <w:br/>
              <w:t>碳儲量計算</w:t>
            </w:r>
          </w:p>
        </w:tc>
        <w:tc>
          <w:tcPr>
            <w:tcW w:type="dxa" w:w="2197"/>
          </w:tcPr>
          <w:p>
            <w:r>
              <w:rPr>
                <w:rFonts w:ascii="Times New Roman" w:hAnsi="Times New Roman" w:eastAsia="標楷體" w:cs="標楷體"/>
                <w:sz w:val="22"/>
              </w:rPr>
              <w:t>FFmpeg（幀擷取）</w:t>
              <w:br/>
              <w:t>Gemini Vision（AI 分析）</w:t>
              <w:br/>
              <w:t>Pl@ntNet + iNaturalist（樹種辨識）</w:t>
              <w:br/>
              <w:t>薄透鏡公式 / 參照物路徑（胸高直徑計算）</w:t>
            </w:r>
          </w:p>
        </w:tc>
        <w:tc>
          <w:tcPr>
            <w:tcW w:type="dxa" w:w="2197"/>
          </w:tcPr>
          <w:p>
            <w:r>
              <w:rPr>
                <w:rFonts w:ascii="Times New Roman" w:hAnsi="Times New Roman" w:eastAsia="標楷體" w:cs="標楷體"/>
                <w:sz w:val="22"/>
              </w:rPr>
              <w:t>研究問題一</w:t>
            </w:r>
          </w:p>
        </w:tc>
      </w:tr>
      <w:tr>
        <w:tc>
          <w:tcPr>
            <w:tcW w:type="dxa" w:w="2197"/>
          </w:tcPr>
          <w:p>
            <w:r>
              <w:rPr>
                <w:rFonts w:ascii="Times New Roman" w:hAnsi="Times New Roman" w:eastAsia="標楷體" w:cs="標楷體"/>
                <w:sz w:val="22"/>
              </w:rPr>
              <w:t>支柱二</w:t>
              <w:br/>
              <w:t>修正因子自演進帳本</w:t>
            </w:r>
          </w:p>
        </w:tc>
        <w:tc>
          <w:tcPr>
            <w:tcW w:type="dxa" w:w="2197"/>
          </w:tcPr>
          <w:p>
            <w:r>
              <w:rPr>
                <w:rFonts w:ascii="Times New Roman" w:hAnsi="Times New Roman" w:eastAsia="標楷體" w:cs="標楷體"/>
                <w:sz w:val="22"/>
              </w:rPr>
              <w:t>接收實測回饋</w:t>
              <w:br/>
              <w:t>更新加權修正因子</w:t>
              <w:br/>
              <w:t>快照歷程記錄</w:t>
            </w:r>
          </w:p>
        </w:tc>
        <w:tc>
          <w:tcPr>
            <w:tcW w:type="dxa" w:w="2197"/>
          </w:tcPr>
          <w:p>
            <w:r>
              <w:rPr>
                <w:rFonts w:ascii="Times New Roman" w:hAnsi="Times New Roman" w:eastAsia="標楷體" w:cs="標楷體"/>
                <w:sz w:val="22"/>
              </w:rPr>
              <w:t>ground_truth 資料表</w:t>
              <w:br/>
              <w:t>correction_factor_log 帳本</w:t>
              <w:br/>
              <w:t>加權移動平均演算法（近 30 天 weight=2）</w:t>
            </w:r>
          </w:p>
        </w:tc>
        <w:tc>
          <w:tcPr>
            <w:tcW w:type="dxa" w:w="2197"/>
          </w:tcPr>
          <w:p>
            <w:r>
              <w:rPr>
                <w:rFonts w:ascii="Times New Roman" w:hAnsi="Times New Roman" w:eastAsia="標楷體" w:cs="標楷體"/>
                <w:sz w:val="22"/>
              </w:rPr>
              <w:t>研究問題二</w:t>
            </w:r>
          </w:p>
        </w:tc>
      </w:tr>
      <w:tr>
        <w:tc>
          <w:tcPr>
            <w:tcW w:type="dxa" w:w="2197"/>
          </w:tcPr>
          <w:p>
            <w:r>
              <w:rPr>
                <w:rFonts w:ascii="Times New Roman" w:hAnsi="Times New Roman" w:eastAsia="標楷體" w:cs="標楷體"/>
                <w:sz w:val="22"/>
              </w:rPr>
              <w:t>支柱三</w:t>
              <w:br/>
              <w:t>區塊鏈存證</w:t>
            </w:r>
          </w:p>
        </w:tc>
        <w:tc>
          <w:tcPr>
            <w:tcW w:type="dxa" w:w="2197"/>
          </w:tcPr>
          <w:p>
            <w:r>
              <w:rPr>
                <w:rFonts w:ascii="Times New Roman" w:hAnsi="Times New Roman" w:eastAsia="標楷體" w:cs="標楷體"/>
                <w:sz w:val="22"/>
              </w:rPr>
              <w:t>量測記錄上鏈存證</w:t>
              <w:br/>
              <w:t>失敗重試機制</w:t>
              <w:br/>
              <w:t>一致性驗證</w:t>
            </w:r>
          </w:p>
        </w:tc>
        <w:tc>
          <w:tcPr>
            <w:tcW w:type="dxa" w:w="2197"/>
          </w:tcPr>
          <w:p>
            <w:r>
              <w:rPr>
                <w:rFonts w:ascii="Times New Roman" w:hAnsi="Times New Roman" w:eastAsia="標楷體" w:cs="標楷體"/>
                <w:sz w:val="22"/>
              </w:rPr>
              <w:t>CarbonCredit.sol（Solidity 智能合約）</w:t>
              <w:br/>
              <w:t>Hyperledger Besu 拜占庭容錯共識機制私鏈</w:t>
              <w:br/>
              <w:t>blockchain_jobs 佇列</w:t>
              <w:br/>
              <w:t>verify-blockchain.js</w:t>
            </w:r>
          </w:p>
        </w:tc>
        <w:tc>
          <w:tcPr>
            <w:tcW w:type="dxa" w:w="2197"/>
          </w:tcPr>
          <w:p>
            <w:r>
              <w:rPr>
                <w:rFonts w:ascii="Times New Roman" w:hAnsi="Times New Roman" w:eastAsia="標楷體" w:cs="標楷體"/>
                <w:sz w:val="22"/>
              </w:rPr>
              <w:t>研究問題三</w:t>
            </w:r>
          </w:p>
        </w:tc>
      </w:tr>
    </w:tbl>
    <w:p/>
    <w:p>
      <w:pPr>
        <w:jc w:val="center"/>
      </w:pPr>
      <w:r>
        <w:rPr>
          <w:rFonts w:ascii="Times New Roman" w:hAnsi="Times New Roman" w:eastAsia="標楷體" w:cs="標楷體"/>
          <w:sz w:val="22"/>
        </w:rPr>
        <w:t>表 3-1　系統三支柱架構功能分工</w:t>
      </w:r>
    </w:p>
    <w:p/>
    <w:p>
      <w:pPr>
        <w:spacing w:after="120"/>
        <w:ind w:firstLine="480"/>
      </w:pPr>
      <w:r>
        <w:rPr>
          <w:rFonts w:ascii="Times New Roman" w:hAnsi="Times New Roman" w:eastAsia="標楷體" w:cs="標楷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Times New Roman" w:hAnsi="Times New Roman" w:eastAsia="標楷體" w:cs="標楷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bookmarkStart w:id="22" w:name="_Toc10021"/>
      <w:r>
        <w:rPr>
          <w:rFonts w:ascii="Times New Roman" w:hAnsi="Times New Roman" w:eastAsia="標楷體" w:cs="標楷體"/>
          <w:sz w:val="26"/>
        </w:rPr>
        <w:t>3.3 技術環境與 設計科學研究法 步驟對應</w:t>
      </w:r>
      <w:bookmarkEnd w:id="22"/>
    </w:p>
    <w:p>
      <w:pPr>
        <w:spacing w:after="120"/>
        <w:ind w:firstLine="480"/>
      </w:pPr>
      <w:r>
        <w:rPr>
          <w:rFonts w:ascii="Times New Roman" w:hAnsi="Times New Roman" w:eastAsia="標楷體" w:cs="標楷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Times New Roman" w:hAnsi="Times New Roman" w:eastAsia="標楷體" w:cs="標楷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b/>
                <w:sz w:val="20"/>
              </w:rPr>
              <w:t>設計科學研究法 步驟（Peffers et al., 2007）</w:t>
            </w:r>
          </w:p>
        </w:tc>
        <w:tc>
          <w:tcPr>
            <w:tcW w:type="dxa" w:w="2929"/>
          </w:tcPr>
          <w:p>
            <w:r>
              <w:rPr>
                <w:rFonts w:ascii="Times New Roman" w:hAnsi="Times New Roman" w:eastAsia="標楷體" w:cs="標楷體"/>
                <w:b/>
                <w:sz w:val="20"/>
              </w:rPr>
              <w:t>本研究對應內容</w:t>
            </w:r>
          </w:p>
        </w:tc>
        <w:tc>
          <w:tcPr>
            <w:tcW w:type="dxa" w:w="2929"/>
          </w:tcPr>
          <w:p>
            <w:r>
              <w:rPr>
                <w:rFonts w:ascii="Times New Roman" w:hAnsi="Times New Roman" w:eastAsia="標楷體" w:cs="標楷體"/>
                <w:b/>
                <w:sz w:val="20"/>
              </w:rPr>
              <w:t>論文章節</w:t>
            </w:r>
          </w:p>
        </w:tc>
      </w:tr>
      <w:tr>
        <w:tc>
          <w:tcPr>
            <w:tcW w:type="dxa" w:w="2929"/>
          </w:tcPr>
          <w:p>
            <w:r>
              <w:rPr>
                <w:rFonts w:ascii="Times New Roman" w:hAnsi="Times New Roman" w:eastAsia="標楷體" w:cs="標楷體"/>
                <w:sz w:val="20"/>
              </w:rPr>
              <w:t>Step 1：問題識別與動機建構</w:t>
            </w:r>
          </w:p>
        </w:tc>
        <w:tc>
          <w:tcPr>
            <w:tcW w:type="dxa" w:w="2929"/>
          </w:tcPr>
          <w:p>
            <w:r>
              <w:rPr>
                <w:rFonts w:ascii="Times New Roman" w:hAnsi="Times New Roman" w:eastAsia="標楷體" w:cs="標楷體"/>
                <w:sz w:val="20"/>
              </w:rPr>
              <w:t>識別胸高直徑量測缺口、修正機制缺失、碳匯存證不足三項問題</w:t>
            </w:r>
          </w:p>
        </w:tc>
        <w:tc>
          <w:tcPr>
            <w:tcW w:type="dxa" w:w="2929"/>
          </w:tcPr>
          <w:p>
            <w:r>
              <w:rPr>
                <w:rFonts w:ascii="Times New Roman" w:hAnsi="Times New Roman" w:eastAsia="標楷體" w:cs="標楷體"/>
                <w:sz w:val="20"/>
              </w:rPr>
              <w:t>第一章 1.1–1.2</w:t>
            </w:r>
          </w:p>
        </w:tc>
      </w:tr>
      <w:tr>
        <w:tc>
          <w:tcPr>
            <w:tcW w:type="dxa" w:w="2929"/>
          </w:tcPr>
          <w:p>
            <w:r>
              <w:rPr>
                <w:rFonts w:ascii="Times New Roman" w:hAnsi="Times New Roman" w:eastAsia="標楷體" w:cs="標楷體"/>
                <w:sz w:val="20"/>
              </w:rPr>
              <w:t>Step 2：界定目標</w:t>
            </w:r>
          </w:p>
        </w:tc>
        <w:tc>
          <w:tcPr>
            <w:tcW w:type="dxa" w:w="2929"/>
          </w:tcPr>
          <w:p>
            <w:r>
              <w:rPr>
                <w:rFonts w:ascii="Times New Roman" w:hAnsi="Times New Roman" w:eastAsia="標楷體" w:cs="標楷體"/>
                <w:sz w:val="20"/>
              </w:rPr>
              <w:t>定義三個研究問題 與 平均絕對百分比誤差 ≤ 25% 精度目標</w:t>
            </w:r>
          </w:p>
        </w:tc>
        <w:tc>
          <w:tcPr>
            <w:tcW w:type="dxa" w:w="2929"/>
          </w:tcPr>
          <w:p>
            <w:r>
              <w:rPr>
                <w:rFonts w:ascii="Times New Roman" w:hAnsi="Times New Roman" w:eastAsia="標楷體" w:cs="標楷體"/>
                <w:sz w:val="20"/>
              </w:rPr>
              <w:t>第一章 1.2–1.3</w:t>
            </w:r>
          </w:p>
        </w:tc>
      </w:tr>
      <w:tr>
        <w:tc>
          <w:tcPr>
            <w:tcW w:type="dxa" w:w="2929"/>
          </w:tcPr>
          <w:p>
            <w:r>
              <w:rPr>
                <w:rFonts w:ascii="Times New Roman" w:hAnsi="Times New Roman" w:eastAsia="標楷體" w:cs="標楷體"/>
                <w:sz w:val="20"/>
              </w:rPr>
              <w:t>Step 3：設計與開發</w:t>
            </w:r>
          </w:p>
        </w:tc>
        <w:tc>
          <w:tcPr>
            <w:tcW w:type="dxa" w:w="2929"/>
          </w:tcPr>
          <w:p>
            <w:r>
              <w:rPr>
                <w:rFonts w:ascii="Times New Roman" w:hAnsi="Times New Roman" w:eastAsia="標楷體" w:cs="標楷體"/>
                <w:sz w:val="20"/>
              </w:rPr>
              <w:t>實作三支柱平台：量測引擎、修正因子帳本、區塊鏈存證</w:t>
            </w:r>
          </w:p>
        </w:tc>
        <w:tc>
          <w:tcPr>
            <w:tcW w:type="dxa" w:w="2929"/>
          </w:tcPr>
          <w:p>
            <w:r>
              <w:rPr>
                <w:rFonts w:ascii="Times New Roman" w:hAnsi="Times New Roman" w:eastAsia="標楷體" w:cs="標楷體"/>
                <w:sz w:val="20"/>
              </w:rPr>
              <w:t>第三章 3.3–3.6</w:t>
            </w:r>
          </w:p>
        </w:tc>
      </w:tr>
      <w:tr>
        <w:tc>
          <w:tcPr>
            <w:tcW w:type="dxa" w:w="2929"/>
          </w:tcPr>
          <w:p>
            <w:r>
              <w:rPr>
                <w:rFonts w:ascii="Times New Roman" w:hAnsi="Times New Roman" w:eastAsia="標楷體" w:cs="標楷體"/>
                <w:sz w:val="20"/>
              </w:rPr>
              <w:t>Step 4：示範應用</w:t>
            </w:r>
          </w:p>
        </w:tc>
        <w:tc>
          <w:tcPr>
            <w:tcW w:type="dxa" w:w="2929"/>
          </w:tcPr>
          <w:p>
            <w:r>
              <w:rPr>
                <w:rFonts w:ascii="Times New Roman" w:hAnsi="Times New Roman" w:eastAsia="標楷體" w:cs="標楷體"/>
                <w:sz w:val="20"/>
              </w:rPr>
              <w:t>田野量測 32 棵（有效分析樣本 31 棵）樣本樹，上傳影片完整走過量測流程</w:t>
            </w:r>
          </w:p>
        </w:tc>
        <w:tc>
          <w:tcPr>
            <w:tcW w:type="dxa" w:w="2929"/>
          </w:tcPr>
          <w:p>
            <w:r>
              <w:rPr>
                <w:rFonts w:ascii="Times New Roman" w:hAnsi="Times New Roman" w:eastAsia="標楷體" w:cs="標楷體"/>
                <w:sz w:val="20"/>
              </w:rPr>
              <w:t>第四章 4.1–4.2</w:t>
            </w:r>
          </w:p>
        </w:tc>
      </w:tr>
      <w:tr>
        <w:tc>
          <w:tcPr>
            <w:tcW w:type="dxa" w:w="2929"/>
          </w:tcPr>
          <w:p>
            <w:r>
              <w:rPr>
                <w:rFonts w:ascii="Times New Roman" w:hAnsi="Times New Roman" w:eastAsia="標楷體" w:cs="標楷體"/>
                <w:sz w:val="20"/>
              </w:rPr>
              <w:t>Step 5：效益評估</w:t>
            </w:r>
          </w:p>
        </w:tc>
        <w:tc>
          <w:tcPr>
            <w:tcW w:type="dxa" w:w="2929"/>
          </w:tcPr>
          <w:p>
            <w:r>
              <w:rPr>
                <w:rFonts w:ascii="Times New Roman" w:hAnsi="Times New Roman" w:eastAsia="標楷體" w:cs="標楷體"/>
                <w:sz w:val="20"/>
              </w:rPr>
              <w:t>平均絕對誤差/平均絕對百分比誤差/R²、Bootstrap 95% 信賴區間、Hevner 七項準則評分</w:t>
            </w:r>
          </w:p>
        </w:tc>
        <w:tc>
          <w:tcPr>
            <w:tcW w:type="dxa" w:w="2929"/>
          </w:tcPr>
          <w:p>
            <w:r>
              <w:rPr>
                <w:rFonts w:ascii="Times New Roman" w:hAnsi="Times New Roman" w:eastAsia="標楷體" w:cs="標楷體"/>
                <w:sz w:val="20"/>
              </w:rPr>
              <w:t>第四章 4.3–4.5</w:t>
            </w:r>
          </w:p>
        </w:tc>
      </w:tr>
      <w:tr>
        <w:tc>
          <w:tcPr>
            <w:tcW w:type="dxa" w:w="2929"/>
          </w:tcPr>
          <w:p>
            <w:r>
              <w:rPr>
                <w:rFonts w:ascii="Times New Roman" w:hAnsi="Times New Roman" w:eastAsia="標楷體" w:cs="標楷體"/>
                <w:sz w:val="20"/>
              </w:rPr>
              <w:t>Step 6：推廣溝通</w:t>
            </w:r>
          </w:p>
        </w:tc>
        <w:tc>
          <w:tcPr>
            <w:tcW w:type="dxa" w:w="2929"/>
          </w:tcPr>
          <w:p>
            <w:r>
              <w:rPr>
                <w:rFonts w:ascii="Times New Roman" w:hAnsi="Times New Roman" w:eastAsia="標楷體" w:cs="標楷體"/>
                <w:sz w:val="20"/>
              </w:rPr>
              <w:t>MDPI Forests 投稿、GitHub 開源</w:t>
            </w:r>
          </w:p>
        </w:tc>
        <w:tc>
          <w:tcPr>
            <w:tcW w:type="dxa" w:w="2929"/>
          </w:tcPr>
          <w:p>
            <w:r>
              <w:rPr>
                <w:rFonts w:ascii="Times New Roman" w:hAnsi="Times New Roman" w:eastAsia="標楷體" w:cs="標楷體"/>
                <w:sz w:val="20"/>
              </w:rPr>
              <w:t>第五章 5.3</w:t>
            </w:r>
          </w:p>
        </w:tc>
      </w:tr>
    </w:tbl>
    <w:p/>
    <w:p>
      <w:pPr>
        <w:jc w:val="center"/>
      </w:pPr>
      <w:r>
        <w:rPr>
          <w:rFonts w:ascii="Times New Roman" w:hAnsi="Times New Roman" w:eastAsia="標楷體" w:cs="標楷體"/>
          <w:sz w:val="22"/>
        </w:rPr>
        <w:t>表 3-2　設計科學研究法 六步驟與此專案章節對應</w:t>
      </w:r>
    </w:p>
    <w:p/>
    <w:p>
      <w:pPr>
        <w:pStyle w:val="Heading2"/>
      </w:pPr>
      <w:bookmarkStart w:id="23" w:name="_Toc10022"/>
      <w:r>
        <w:rPr>
          <w:rFonts w:ascii="Times New Roman" w:hAnsi="Times New Roman" w:eastAsia="標楷體" w:cs="標楷體"/>
          <w:sz w:val="26"/>
        </w:rPr>
        <w:t>3.4 支柱一：影片量測引擎</w:t>
      </w:r>
      <w:bookmarkEnd w:id="23"/>
    </w:p>
    <w:p>
      <w:pPr>
        <w:pStyle w:val="Heading3"/>
      </w:pPr>
      <w:bookmarkStart w:id="24" w:name="_Toc10023"/>
      <w:r>
        <w:rPr>
          <w:rFonts w:ascii="Times New Roman" w:hAnsi="Times New Roman" w:eastAsia="標楷體" w:cs="標楷體"/>
          <w:sz w:val="24"/>
        </w:rPr>
        <w:t>3.4.1 影片接收與幀擷取</w:t>
      </w:r>
      <w:bookmarkEnd w:id="24"/>
    </w:p>
    <w:p>
      <w:pPr>
        <w:spacing w:after="120"/>
        <w:ind w:firstLine="480"/>
      </w:pPr>
      <w:r>
        <w:rPr>
          <w:rFonts w:ascii="Times New Roman" w:hAnsi="Times New Roman" w:eastAsia="標楷體" w:cs="標楷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Times New Roman" w:hAnsi="Times New Roman" w:eastAsia="標楷體" w:cs="標楷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bookmarkStart w:id="25" w:name="_Toc10024"/>
      <w:r>
        <w:rPr>
          <w:rFonts w:ascii="Times New Roman" w:hAnsi="Times New Roman" w:eastAsia="標楷體" w:cs="標楷體"/>
          <w:sz w:val="24"/>
        </w:rPr>
        <w:t>3.4.2 AI 視覺分析與胸高直徑計算</w:t>
      </w:r>
      <w:bookmarkEnd w:id="25"/>
    </w:p>
    <w:p>
      <w:pPr>
        <w:spacing w:after="120"/>
        <w:ind w:firstLine="480"/>
      </w:pPr>
      <w:r>
        <w:rPr>
          <w:rFonts w:ascii="Times New Roman" w:hAnsi="Times New Roman" w:eastAsia="標楷體" w:cs="標楷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Times New Roman" w:hAnsi="Times New Roman" w:eastAsia="標楷體" w:cs="標楷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Times New Roman" w:hAnsi="Times New Roman" w:eastAsia="標楷體" w:cs="標楷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Times New Roman" w:hAnsi="Times New Roman" w:eastAsia="標楷體" w:cs="標楷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rFonts w:ascii="Times New Roman" w:hAnsi="Times New Roman" w:eastAsia="標楷體" w:cs="標楷體"/>
          <w:b/>
          <w:sz w:val="22"/>
        </w:rPr>
        <w:t>胸高直徑 (mm) = (trunkPixelWidth / referencePixelWidth) × referenceActualWidth (mm)</w:t>
      </w:r>
    </w:p>
    <w:p>
      <w:pPr>
        <w:spacing w:after="120"/>
        <w:ind w:firstLine="480"/>
      </w:pPr>
      <w:r>
        <w:rPr>
          <w:rFonts w:ascii="Times New Roman" w:hAnsi="Times New Roman" w:eastAsia="標楷體" w:cs="標楷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Times New Roman" w:hAnsi="Times New Roman" w:eastAsia="標楷體" w:cs="標楷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rFonts w:ascii="Times New Roman" w:hAnsi="Times New Roman" w:eastAsia="標楷體" w:cs="標楷體"/>
          <w:b/>
          <w:sz w:val="22"/>
        </w:rPr>
        <w:t>胸高直徑 (mm) = trunkPixelWidth × (sensorWidth / imagePixels) × (distanceMeters × 1000 / focalLength)</w:t>
      </w:r>
    </w:p>
    <w:p>
      <w:pPr>
        <w:spacing w:after="120"/>
        <w:ind w:firstLine="480"/>
      </w:pPr>
      <w:r>
        <w:rPr>
          <w:rFonts w:ascii="Times New Roman" w:hAnsi="Times New Roman" w:eastAsia="標楷體" w:cs="標楷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Times New Roman" w:hAnsi="Times New Roman" w:eastAsia="標楷體" w:cs="標楷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bookmarkStart w:id="26" w:name="_Toc10025"/>
      <w:r>
        <w:rPr>
          <w:rFonts w:ascii="Times New Roman" w:hAnsi="Times New Roman" w:eastAsia="標楷體" w:cs="標楷體"/>
          <w:sz w:val="24"/>
        </w:rPr>
        <w:t>3.4.2.1 設計理念：漸進降級（graceful degradation）</w:t>
      </w:r>
      <w:bookmarkEnd w:id="26"/>
    </w:p>
    <w:p>
      <w:pPr>
        <w:spacing w:after="120"/>
        <w:ind w:firstLine="480"/>
      </w:pPr>
      <w:r>
        <w:rPr>
          <w:rFonts w:ascii="Times New Roman" w:hAnsi="Times New Roman" w:eastAsia="標楷體" w:cs="標楷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Times New Roman" w:hAnsi="Times New Roman" w:eastAsia="標楷體" w:cs="標楷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Times New Roman" w:hAnsi="Times New Roman" w:eastAsia="標楷體" w:cs="標楷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bookmarkStart w:id="27" w:name="_Toc10026"/>
      <w:r>
        <w:rPr>
          <w:rFonts w:ascii="Times New Roman" w:hAnsi="Times New Roman" w:eastAsia="標楷體" w:cs="標楷體"/>
          <w:sz w:val="24"/>
        </w:rPr>
        <w:t>3.4.2.2 群聚演算法：clusterByRelativeDiff</w:t>
      </w:r>
      <w:bookmarkEnd w:id="27"/>
    </w:p>
    <w:p>
      <w:pPr>
        <w:spacing w:after="120"/>
        <w:ind w:firstLine="480"/>
      </w:pPr>
      <w:r>
        <w:rPr>
          <w:rFonts w:ascii="Times New Roman" w:hAnsi="Times New Roman" w:eastAsia="標楷體" w:cs="標楷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Times New Roman" w:hAnsi="Times New Roman" w:eastAsia="標楷體" w:cs="標楷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Times New Roman" w:hAnsi="Times New Roman" w:eastAsia="標楷體" w:cs="標楷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Times New Roman" w:hAnsi="Times New Roman" w:eastAsia="標楷體" w:cs="標楷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bookmarkStart w:id="28" w:name="_Toc10027"/>
      <w:r>
        <w:rPr>
          <w:rFonts w:ascii="Times New Roman" w:hAnsi="Times New Roman" w:eastAsia="標楷體" w:cs="標楷體"/>
          <w:sz w:val="24"/>
        </w:rPr>
        <w:t>3.4.3 樹種辨識與碳儲量計算</w:t>
      </w:r>
      <w:bookmarkEnd w:id="28"/>
    </w:p>
    <w:p>
      <w:pPr>
        <w:spacing w:after="120"/>
        <w:ind w:firstLine="480"/>
      </w:pPr>
      <w:r>
        <w:rPr>
          <w:rFonts w:ascii="Times New Roman" w:hAnsi="Times New Roman" w:eastAsia="標楷體" w:cs="標楷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Times New Roman" w:hAnsi="Times New Roman" w:eastAsia="標楷體" w:cs="標楷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rFonts w:ascii="Times New Roman" w:hAnsi="Times New Roman" w:eastAsia="標楷體" w:cs="標楷體"/>
          <w:b/>
          <w:sz w:val="22"/>
        </w:rPr>
        <w:t>V = volA × 胸高直徑^volB × H^volC</w:t>
      </w:r>
    </w:p>
    <w:p>
      <w:pPr>
        <w:spacing w:after="120"/>
        <w:ind w:firstLine="480"/>
      </w:pPr>
      <w:r>
        <w:rPr>
          <w:rFonts w:ascii="Times New Roman" w:hAnsi="Times New Roman" w:eastAsia="標楷體" w:cs="標楷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Times New Roman" w:hAnsi="Times New Roman" w:eastAsia="標楷體" w:cs="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bookmarkStart w:id="29" w:name="_Toc10028"/>
      <w:r>
        <w:rPr>
          <w:rFonts w:ascii="Times New Roman" w:hAnsi="Times New Roman" w:eastAsia="標楷體" w:cs="標楷體"/>
          <w:sz w:val="26"/>
        </w:rPr>
        <w:t>3.5 支柱二：修正因子自演進帳本</w:t>
      </w:r>
      <w:bookmarkEnd w:id="29"/>
    </w:p>
    <w:p>
      <w:pPr>
        <w:pStyle w:val="Heading3"/>
      </w:pPr>
      <w:bookmarkStart w:id="30" w:name="_Toc10029"/>
      <w:r>
        <w:rPr>
          <w:rFonts w:ascii="Times New Roman" w:hAnsi="Times New Roman" w:eastAsia="標楷體" w:cs="標楷體"/>
          <w:sz w:val="24"/>
        </w:rPr>
        <w:t>3.5.1 地面實況資料收集</w:t>
      </w:r>
      <w:bookmarkEnd w:id="30"/>
    </w:p>
    <w:p>
      <w:pPr>
        <w:spacing w:after="120"/>
        <w:ind w:firstLine="480"/>
      </w:pPr>
      <w:r>
        <w:rPr>
          <w:rFonts w:ascii="Times New Roman" w:hAnsi="Times New Roman" w:eastAsia="標楷體" w:cs="標楷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bookmarkStart w:id="31" w:name="_Toc10030"/>
      <w:r>
        <w:rPr>
          <w:rFonts w:ascii="Times New Roman" w:hAnsi="Times New Roman" w:eastAsia="標楷體" w:cs="標楷體"/>
          <w:sz w:val="24"/>
        </w:rPr>
        <w:t>3.5.2 加權修正因子計算與快照機制</w:t>
      </w:r>
      <w:bookmarkEnd w:id="31"/>
    </w:p>
    <w:p>
      <w:pPr>
        <w:spacing w:after="120"/>
        <w:ind w:firstLine="480"/>
      </w:pPr>
      <w:r>
        <w:rPr>
          <w:rFonts w:ascii="Times New Roman" w:hAnsi="Times New Roman" w:eastAsia="標楷體" w:cs="標楷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Times New Roman" w:hAnsi="Times New Roman" w:eastAsia="標楷體" w:cs="標楷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bookmarkStart w:id="32" w:name="_Toc10031"/>
      <w:r>
        <w:rPr>
          <w:rFonts w:ascii="Times New Roman" w:hAnsi="Times New Roman" w:eastAsia="標楷體" w:cs="標楷體"/>
          <w:sz w:val="26"/>
        </w:rPr>
        <w:t>3.6 支柱三：區塊鏈存證</w:t>
      </w:r>
      <w:bookmarkEnd w:id="32"/>
    </w:p>
    <w:p>
      <w:pPr>
        <w:pStyle w:val="Heading3"/>
      </w:pPr>
      <w:bookmarkStart w:id="33" w:name="_Toc10032"/>
      <w:r>
        <w:rPr>
          <w:rFonts w:ascii="Times New Roman" w:hAnsi="Times New Roman" w:eastAsia="標楷體" w:cs="標楷體"/>
          <w:sz w:val="24"/>
        </w:rPr>
        <w:t>3.6.1 CarbonCredit.sol 智能合約設計</w:t>
      </w:r>
      <w:bookmarkEnd w:id="33"/>
    </w:p>
    <w:p>
      <w:pPr>
        <w:spacing w:after="120"/>
        <w:ind w:firstLine="480"/>
      </w:pPr>
      <w:r>
        <w:rPr>
          <w:rFonts w:ascii="Times New Roman" w:hAnsi="Times New Roman" w:eastAsia="標楷體" w:cs="標楷體"/>
          <w:sz w:val="24"/>
        </w:rPr>
        <w:t>CarbonCredit.sol 以用來撰寫以太坊智能合約的 Solidity 程式語言撰寫，部署於 Hyperledger Besu 拜占庭容錯共識機制私鏈（Chain ID: 1337）。合約主要設計如下：</w:t>
      </w:r>
    </w:p>
    <w:p>
      <w:pPr>
        <w:spacing w:after="120"/>
      </w:pPr>
      <w:r>
        <w:rPr>
          <w:rFonts w:ascii="Times New Roman" w:hAnsi="Times New Roman" w:eastAsia="標楷體" w:cs="標楷體"/>
          <w:sz w:val="24"/>
        </w:rPr>
        <w:t>【狀態變數】</w:t>
      </w:r>
    </w:p>
    <w:p>
      <w:pPr>
        <w:spacing w:after="80"/>
        <w:ind w:left="720"/>
      </w:pPr>
      <w:r>
        <w:rPr>
          <w:rFonts w:ascii="Times New Roman" w:hAnsi="Times New Roman" w:eastAsia="標楷體" w:cs="標楷體"/>
          <w:sz w:val="20"/>
        </w:rPr>
        <w:t>uint256 public measurementCount;</w:t>
      </w:r>
    </w:p>
    <w:p>
      <w:pPr>
        <w:spacing w:after="80"/>
        <w:ind w:left="720"/>
      </w:pPr>
      <w:r>
        <w:rPr>
          <w:rFonts w:ascii="Times New Roman" w:hAnsi="Times New Roman" w:eastAsia="標楷體" w:cs="標楷體"/>
          <w:sz w:val="20"/>
        </w:rPr>
        <w:t>mapping(uint256 =&gt; Measurement) public measurements;</w:t>
      </w:r>
    </w:p>
    <w:p>
      <w:pPr>
        <w:spacing w:after="80"/>
        <w:ind w:left="720"/>
      </w:pPr>
      <w:r>
        <w:rPr>
          <w:rFonts w:ascii="Times New Roman" w:hAnsi="Times New Roman" w:eastAsia="標楷體" w:cs="標楷體"/>
          <w:sz w:val="20"/>
        </w:rPr>
        <w:t>address public owner;</w:t>
      </w:r>
    </w:p>
    <w:p>
      <w:pPr>
        <w:spacing w:after="120"/>
      </w:pPr>
      <w:r>
        <w:rPr>
          <w:rFonts w:ascii="Times New Roman" w:hAnsi="Times New Roman" w:eastAsia="標楷體" w:cs="標楷體"/>
          <w:sz w:val="24"/>
        </w:rPr>
        <w:t>【結構體】</w:t>
      </w:r>
    </w:p>
    <w:p>
      <w:pPr>
        <w:spacing w:after="80"/>
        <w:ind w:left="720"/>
      </w:pPr>
      <w:r>
        <w:rPr>
          <w:rFonts w:ascii="Times New Roman" w:hAnsi="Times New Roman" w:eastAsia="標楷體" w:cs="標楷體"/>
          <w:sz w:val="20"/>
        </w:rPr>
        <w:t>struct Measurement {</w:t>
      </w:r>
    </w:p>
    <w:p>
      <w:pPr>
        <w:spacing w:after="80"/>
        <w:ind w:left="720"/>
      </w:pPr>
      <w:r>
        <w:rPr>
          <w:rFonts w:ascii="Times New Roman" w:hAnsi="Times New Roman" w:eastAsia="標楷體" w:cs="標楷體"/>
          <w:sz w:val="20"/>
        </w:rPr>
        <w:t xml:space="preserve">    string  gps;</w:t>
      </w:r>
    </w:p>
    <w:p>
      <w:pPr>
        <w:spacing w:after="80"/>
        <w:ind w:left="720"/>
      </w:pPr>
      <w:r>
        <w:rPr>
          <w:rFonts w:ascii="Times New Roman" w:hAnsi="Times New Roman" w:eastAsia="標楷體" w:cs="標楷體"/>
          <w:sz w:val="20"/>
        </w:rPr>
        <w:t xml:space="preserve">    string  species;</w:t>
      </w:r>
    </w:p>
    <w:p>
      <w:pPr>
        <w:spacing w:after="80"/>
        <w:ind w:left="720"/>
      </w:pPr>
      <w:r>
        <w:rPr>
          <w:rFonts w:ascii="Times New Roman" w:hAnsi="Times New Roman" w:eastAsia="標楷體" w:cs="標楷體"/>
          <w:sz w:val="20"/>
        </w:rPr>
        <w:t xml:space="preserve">    uint32  dbhMm;                 // 胸高直徑（毫米）</w:t>
      </w:r>
    </w:p>
    <w:p>
      <w:pPr>
        <w:spacing w:after="80"/>
        <w:ind w:left="720"/>
      </w:pPr>
      <w:r>
        <w:rPr>
          <w:rFonts w:ascii="Times New Roman" w:hAnsi="Times New Roman" w:eastAsia="標楷體" w:cs="標楷體"/>
          <w:sz w:val="20"/>
        </w:rPr>
        <w:t xml:space="preserve">    uint32  volumeCm3x100;          // 材積 × 100</w:t>
      </w:r>
    </w:p>
    <w:p>
      <w:pPr>
        <w:spacing w:after="80"/>
        <w:ind w:left="720"/>
      </w:pPr>
      <w:r>
        <w:rPr>
          <w:rFonts w:ascii="Times New Roman" w:hAnsi="Times New Roman" w:eastAsia="標楷體" w:cs="標楷體"/>
          <w:sz w:val="20"/>
        </w:rPr>
        <w:t xml:space="preserve">    uint32  carbonG;               // 碳儲量（克）</w:t>
      </w:r>
    </w:p>
    <w:p>
      <w:pPr>
        <w:spacing w:after="80"/>
        <w:ind w:left="720"/>
      </w:pPr>
      <w:r>
        <w:rPr>
          <w:rFonts w:ascii="Times New Roman" w:hAnsi="Times New Roman" w:eastAsia="標楷體" w:cs="標楷體"/>
          <w:sz w:val="20"/>
        </w:rPr>
        <w:t xml:space="preserve">    bytes32 videoHash;             // 影片 安全雜湊演算法-256 雜湊</w:t>
      </w:r>
    </w:p>
    <w:p>
      <w:pPr>
        <w:spacing w:after="80"/>
        <w:ind w:left="720"/>
      </w:pPr>
      <w:r>
        <w:rPr>
          <w:rFonts w:ascii="Times New Roman" w:hAnsi="Times New Roman" w:eastAsia="標楷體" w:cs="標楷體"/>
          <w:sz w:val="20"/>
        </w:rPr>
        <w:t xml:space="preserve">    uint256 timestamp;</w:t>
      </w:r>
    </w:p>
    <w:p>
      <w:pPr>
        <w:spacing w:after="80"/>
        <w:ind w:left="720"/>
      </w:pPr>
      <w:r>
        <w:rPr>
          <w:rFonts w:ascii="Times New Roman" w:hAnsi="Times New Roman" w:eastAsia="標楷體" w:cs="標楷體"/>
          <w:sz w:val="20"/>
        </w:rPr>
        <w:t xml:space="preserve">    uint256 localTreeId;           // SQLite trees.id</w:t>
      </w:r>
    </w:p>
    <w:p>
      <w:pPr>
        <w:spacing w:after="80"/>
        <w:ind w:left="720"/>
      </w:pPr>
      <w:r>
        <w:rPr>
          <w:rFonts w:ascii="Times New Roman" w:hAnsi="Times New Roman" w:eastAsia="標楷體" w:cs="標楷體"/>
          <w:sz w:val="20"/>
        </w:rPr>
        <w:t xml:space="preserve">    uint32  originalDbhMm;         // 修正前原始估算值</w:t>
      </w:r>
    </w:p>
    <w:p>
      <w:pPr>
        <w:spacing w:after="80"/>
        <w:ind w:left="720"/>
      </w:pPr>
      <w:r>
        <w:rPr>
          <w:rFonts w:ascii="Times New Roman" w:hAnsi="Times New Roman" w:eastAsia="標楷體" w:cs="標楷體"/>
          <w:sz w:val="20"/>
        </w:rPr>
        <w:t xml:space="preserve">    uint32  correctionFactorX10000; // 修正因子 × 10000</w:t>
      </w:r>
    </w:p>
    <w:p>
      <w:pPr>
        <w:spacing w:after="80"/>
        <w:ind w:left="720"/>
      </w:pPr>
      <w:r>
        <w:rPr>
          <w:rFonts w:ascii="Times New Roman" w:hAnsi="Times New Roman" w:eastAsia="標楷體" w:cs="標楷體"/>
          <w:sz w:val="20"/>
        </w:rPr>
        <w:t>}</w:t>
      </w:r>
    </w:p>
    <w:p>
      <w:pPr>
        <w:spacing w:after="120"/>
      </w:pPr>
      <w:r>
        <w:rPr>
          <w:rFonts w:ascii="Times New Roman" w:hAnsi="Times New Roman" w:eastAsia="標楷體" w:cs="標楷體"/>
          <w:sz w:val="24"/>
        </w:rPr>
        <w:t>【存取控制】</w:t>
      </w:r>
    </w:p>
    <w:p>
      <w:pPr>
        <w:spacing w:after="80"/>
        <w:ind w:left="720"/>
      </w:pPr>
      <w:r>
        <w:rPr>
          <w:rFonts w:ascii="Times New Roman" w:hAnsi="Times New Roman" w:eastAsia="標楷體" w:cs="標楷體"/>
          <w:sz w:val="20"/>
        </w:rPr>
        <w:t>modifier onlyOwner() {</w:t>
      </w:r>
    </w:p>
    <w:p>
      <w:pPr>
        <w:spacing w:after="80"/>
        <w:ind w:left="720"/>
      </w:pPr>
      <w:r>
        <w:rPr>
          <w:rFonts w:ascii="Times New Roman" w:hAnsi="Times New Roman" w:eastAsia="標楷體" w:cs="標楷體"/>
          <w:sz w:val="20"/>
        </w:rPr>
        <w:t xml:space="preserve">    require(msg.sender == owner, "CarbonCredit: not authorized");</w:t>
      </w:r>
    </w:p>
    <w:p>
      <w:pPr>
        <w:spacing w:after="80"/>
        <w:ind w:left="720"/>
      </w:pPr>
      <w:r>
        <w:rPr>
          <w:rFonts w:ascii="Times New Roman" w:hAnsi="Times New Roman" w:eastAsia="標楷體" w:cs="標楷體"/>
          <w:sz w:val="20"/>
        </w:rPr>
        <w:t xml:space="preserve">    _;</w:t>
      </w:r>
    </w:p>
    <w:p>
      <w:pPr>
        <w:spacing w:after="80"/>
        <w:ind w:left="720"/>
      </w:pPr>
      <w:r>
        <w:rPr>
          <w:rFonts w:ascii="Times New Roman" w:hAnsi="Times New Roman" w:eastAsia="標楷體" w:cs="標楷體"/>
          <w:sz w:val="20"/>
        </w:rPr>
        <w:t>}</w:t>
      </w:r>
    </w:p>
    <w:p>
      <w:pPr>
        <w:spacing w:after="120"/>
      </w:pPr>
      <w:r>
        <w:rPr>
          <w:rFonts w:ascii="Times New Roman" w:hAnsi="Times New Roman" w:eastAsia="標楷體" w:cs="標楷體"/>
          <w:sz w:val="24"/>
        </w:rPr>
        <w:t>【主要函式】</w:t>
      </w:r>
    </w:p>
    <w:p>
      <w:pPr>
        <w:spacing w:after="80"/>
        <w:ind w:left="720"/>
      </w:pPr>
      <w:r>
        <w:rPr>
          <w:rFonts w:ascii="Times New Roman" w:hAnsi="Times New Roman" w:eastAsia="標楷體" w:cs="標楷體"/>
          <w:sz w:val="20"/>
        </w:rPr>
        <w:t>function recordMeasurement(string gps, string species, uint32 dbhMm,</w:t>
      </w:r>
    </w:p>
    <w:p>
      <w:pPr>
        <w:spacing w:after="80"/>
        <w:ind w:left="720"/>
      </w:pPr>
      <w:r>
        <w:rPr>
          <w:rFonts w:ascii="Times New Roman" w:hAnsi="Times New Roman" w:eastAsia="標楷體" w:cs="標楷體"/>
          <w:sz w:val="20"/>
        </w:rPr>
        <w:t xml:space="preserve">    uint32 volumeCm3x100, uint32 carbonG, bytes32 videoHash,</w:t>
      </w:r>
    </w:p>
    <w:p>
      <w:pPr>
        <w:spacing w:after="80"/>
        <w:ind w:left="720"/>
      </w:pPr>
      <w:r>
        <w:rPr>
          <w:rFonts w:ascii="Times New Roman" w:hAnsi="Times New Roman" w:eastAsia="標楷體" w:cs="標楷體"/>
          <w:sz w:val="20"/>
        </w:rPr>
        <w:t xml:space="preserve">    uint256 localTreeId, uint32 originalDbhMm,</w:t>
      </w:r>
    </w:p>
    <w:p>
      <w:pPr>
        <w:spacing w:after="80"/>
        <w:ind w:left="720"/>
      </w:pPr>
      <w:r>
        <w:rPr>
          <w:rFonts w:ascii="Times New Roman" w:hAnsi="Times New Roman" w:eastAsia="標楷體" w:cs="標楷體"/>
          <w:sz w:val="20"/>
        </w:rPr>
        <w:t xml:space="preserve">    uint32 correctionFactorX10000) external onlyOwner returns (uint256)</w:t>
      </w:r>
    </w:p>
    <w:p>
      <w:pPr>
        <w:spacing w:after="80"/>
        <w:ind w:left="720"/>
      </w:pPr>
      <w:r>
        <w:rPr>
          <w:rFonts w:ascii="Times New Roman" w:hAnsi="Times New Roman" w:eastAsia="標楷體" w:cs="標楷體"/>
          <w:sz w:val="20"/>
        </w:rPr>
        <w:t>function getMeasurement(uint256 id) external view returns (Measurement memory)</w:t>
      </w:r>
    </w:p>
    <w:p>
      <w:pPr>
        <w:spacing w:after="120"/>
      </w:pPr>
      <w:r>
        <w:rPr>
          <w:rFonts w:ascii="Times New Roman" w:hAnsi="Times New Roman" w:eastAsia="標楷體" w:cs="標楷體"/>
          <w:sz w:val="24"/>
        </w:rPr>
        <w:t>【事件】</w:t>
      </w:r>
    </w:p>
    <w:p>
      <w:pPr>
        <w:spacing w:after="80"/>
        <w:ind w:left="720"/>
      </w:pPr>
      <w:r>
        <w:rPr>
          <w:rFonts w:ascii="Times New Roman" w:hAnsi="Times New Roman" w:eastAsia="標楷體" w:cs="標楷體"/>
          <w:sz w:val="20"/>
        </w:rPr>
        <w:t>event MeasurementRecorded(uint256 indexed id, string gps, string species,</w:t>
      </w:r>
    </w:p>
    <w:p>
      <w:pPr>
        <w:spacing w:after="80"/>
        <w:ind w:left="720"/>
      </w:pPr>
      <w:r>
        <w:rPr>
          <w:rFonts w:ascii="Times New Roman" w:hAnsi="Times New Roman" w:eastAsia="標楷體" w:cs="標楷體"/>
          <w:sz w:val="20"/>
        </w:rPr>
        <w:t xml:space="preserve">    uint32 dbhMm, uint32 volumeCm3x100, uint32 carbonG, bytes32 videoHash,</w:t>
      </w:r>
    </w:p>
    <w:p>
      <w:pPr>
        <w:spacing w:after="80"/>
        <w:ind w:left="720"/>
      </w:pPr>
      <w:r>
        <w:rPr>
          <w:rFonts w:ascii="Times New Roman" w:hAnsi="Times New Roman" w:eastAsia="標楷體" w:cs="標楷體"/>
          <w:sz w:val="20"/>
        </w:rPr>
        <w:t xml:space="preserve">    uint256 timestamp, uint256 localTreeId,</w:t>
      </w:r>
    </w:p>
    <w:p>
      <w:pPr>
        <w:spacing w:after="80"/>
        <w:ind w:left="720"/>
      </w:pPr>
      <w:r>
        <w:rPr>
          <w:rFonts w:ascii="Times New Roman" w:hAnsi="Times New Roman" w:eastAsia="標楷體" w:cs="標楷體"/>
          <w:sz w:val="20"/>
        </w:rPr>
        <w:t xml:space="preserve">    uint32 originalDbhMm, uint32 correctionFactorX10000);</w:t>
      </w:r>
    </w:p>
    <w:p>
      <w:pPr>
        <w:spacing w:after="120"/>
        <w:ind w:firstLine="480"/>
      </w:pPr>
      <w:r>
        <w:rPr>
          <w:rFonts w:ascii="Times New Roman" w:hAnsi="Times New Roman" w:eastAsia="標楷體" w:cs="標楷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Times New Roman" w:hAnsi="Times New Roman" w:eastAsia="標楷體" w:cs="標楷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bookmarkStart w:id="34" w:name="_Toc10033"/>
      <w:r>
        <w:rPr>
          <w:rFonts w:ascii="Times New Roman" w:hAnsi="Times New Roman" w:eastAsia="標楷體" w:cs="標楷體"/>
          <w:sz w:val="24"/>
        </w:rPr>
        <w:t>3.6.2 上鏈流程與失敗重試機制</w:t>
      </w:r>
      <w:bookmarkEnd w:id="34"/>
    </w:p>
    <w:p>
      <w:pPr>
        <w:spacing w:after="120"/>
        <w:ind w:firstLine="480"/>
      </w:pPr>
      <w:r>
        <w:rPr>
          <w:rFonts w:ascii="Times New Roman" w:hAnsi="Times New Roman" w:eastAsia="標楷體" w:cs="標楷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Times New Roman" w:hAnsi="Times New Roman" w:eastAsia="標楷體" w:cs="標楷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Times New Roman" w:hAnsi="Times New Roman" w:eastAsia="標楷體" w:cs="標楷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bookmarkStart w:id="35" w:name="_Toc10034"/>
      <w:r>
        <w:rPr>
          <w:rFonts w:ascii="Times New Roman" w:hAnsi="Times New Roman" w:eastAsia="標楷體" w:cs="標楷體"/>
          <w:sz w:val="24"/>
        </w:rPr>
        <w:t>3.6.3 Hyperledger Besu 技術配置</w:t>
      </w:r>
      <w:bookmarkEnd w:id="35"/>
    </w:p>
    <w:p>
      <w:pPr>
        <w:spacing w:after="120"/>
        <w:ind w:firstLine="480"/>
      </w:pPr>
      <w:r>
        <w:rPr>
          <w:rFonts w:ascii="Times New Roman" w:hAnsi="Times New Roman" w:eastAsia="標楷體" w:cs="標楷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Times New Roman" w:hAnsi="Times New Roman" w:eastAsia="標楷體" w:cs="標楷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Times New Roman" w:hAnsi="Times New Roman" w:eastAsia="標楷體" w:cs="標楷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bookmarkStart w:id="36" w:name="_Toc10035"/>
      <w:r>
        <w:rPr>
          <w:rFonts w:ascii="Times New Roman" w:hAnsi="Times New Roman" w:eastAsia="標楷體" w:cs="標楷體"/>
          <w:sz w:val="24"/>
        </w:rPr>
        <w:t>3.6.4 應用程式介面 服務部署與守護</w:t>
      </w:r>
      <w:bookmarkEnd w:id="36"/>
    </w:p>
    <w:p>
      <w:pPr>
        <w:spacing w:after="120"/>
        <w:ind w:firstLine="480"/>
      </w:pPr>
      <w:r>
        <w:rPr>
          <w:rFonts w:ascii="Times New Roman" w:hAnsi="Times New Roman" w:eastAsia="標楷體" w:cs="標楷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Times New Roman" w:hAnsi="Times New Roman" w:eastAsia="標楷體" w:cs="標楷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Times New Roman" w:hAnsi="Times New Roman" w:eastAsia="標楷體" w:cs="標楷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bookmarkStart w:id="37" w:name="_Toc10036"/>
      <w:r>
        <w:rPr>
          <w:rFonts w:ascii="Times New Roman" w:hAnsi="Times New Roman" w:eastAsia="標楷體" w:cs="標楷體"/>
          <w:sz w:val="26"/>
        </w:rPr>
        <w:t>3.7 資料模型設計</w:t>
      </w:r>
      <w:bookmarkEnd w:id="37"/>
    </w:p>
    <w:p>
      <w:pPr>
        <w:spacing w:after="120"/>
        <w:ind w:firstLine="480"/>
      </w:pPr>
      <w:r>
        <w:rPr>
          <w:rFonts w:ascii="Times New Roman" w:hAnsi="Times New Roman" w:eastAsia="標楷體" w:cs="標楷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b/>
                <w:sz w:val="20"/>
              </w:rPr>
              <w:t>資料表</w:t>
            </w:r>
          </w:p>
        </w:tc>
        <w:tc>
          <w:tcPr>
            <w:tcW w:type="dxa" w:w="2929"/>
          </w:tcPr>
          <w:p>
            <w:r>
              <w:rPr>
                <w:rFonts w:ascii="Times New Roman" w:hAnsi="Times New Roman" w:eastAsia="標楷體" w:cs="標楷體"/>
                <w:b/>
                <w:sz w:val="20"/>
              </w:rPr>
              <w:t>主要欄位</w:t>
            </w:r>
          </w:p>
        </w:tc>
        <w:tc>
          <w:tcPr>
            <w:tcW w:type="dxa" w:w="2929"/>
          </w:tcPr>
          <w:p>
            <w:r>
              <w:rPr>
                <w:rFonts w:ascii="Times New Roman" w:hAnsi="Times New Roman" w:eastAsia="標楷體" w:cs="標楷體"/>
                <w:b/>
                <w:sz w:val="20"/>
              </w:rPr>
              <w:t>說明</w:t>
            </w:r>
          </w:p>
        </w:tc>
      </w:tr>
      <w:tr>
        <w:tc>
          <w:tcPr>
            <w:tcW w:type="dxa" w:w="2929"/>
          </w:tcPr>
          <w:p>
            <w:r>
              <w:rPr>
                <w:rFonts w:ascii="Times New Roman" w:hAnsi="Times New Roman" w:eastAsia="標楷體" w:cs="標楷體"/>
                <w:sz w:val="20"/>
              </w:rPr>
              <w:t>trees</w:t>
            </w:r>
          </w:p>
        </w:tc>
        <w:tc>
          <w:tcPr>
            <w:tcW w:type="dxa" w:w="2929"/>
          </w:tcPr>
          <w:p>
            <w:r>
              <w:rPr>
                <w:rFonts w:ascii="Times New Roman" w:hAnsi="Times New Roman" w:eastAsia="標楷體" w:cs="標楷體"/>
                <w:sz w:val="20"/>
              </w:rPr>
              <w:t>id, project_id, species, dbh_cm, original_dbh_cm,</w:t>
              <w:br/>
              <w:t>applied_correction_factor, reference_used,</w:t>
              <w:br/>
              <w:t>reference_type, carbon_kg, tx_status, tx_hash</w:t>
            </w:r>
          </w:p>
        </w:tc>
        <w:tc>
          <w:tcPr>
            <w:tcW w:type="dxa" w:w="2929"/>
          </w:tcPr>
          <w:p>
            <w:r>
              <w:rPr>
                <w:rFonts w:ascii="Times New Roman" w:hAnsi="Times New Roman" w:eastAsia="標楷體" w:cs="標楷體"/>
                <w:sz w:val="20"/>
              </w:rPr>
              <w:t>每棵樹的量測記錄，含修正前後胸高直徑與碳儲量</w:t>
            </w:r>
          </w:p>
        </w:tc>
      </w:tr>
      <w:tr>
        <w:tc>
          <w:tcPr>
            <w:tcW w:type="dxa" w:w="2929"/>
          </w:tcPr>
          <w:p>
            <w:r>
              <w:rPr>
                <w:rFonts w:ascii="Times New Roman" w:hAnsi="Times New Roman" w:eastAsia="標楷體" w:cs="標楷體"/>
                <w:sz w:val="20"/>
              </w:rPr>
              <w:t>ground_truth</w:t>
            </w:r>
          </w:p>
        </w:tc>
        <w:tc>
          <w:tcPr>
            <w:tcW w:type="dxa" w:w="2929"/>
          </w:tcPr>
          <w:p>
            <w:r>
              <w:rPr>
                <w:rFonts w:ascii="Times New Roman" w:hAnsi="Times New Roman" w:eastAsia="標楷體" w:cs="標楷體"/>
                <w:sz w:val="20"/>
              </w:rPr>
              <w:t>id, tree_id, actual_dbh_cm, estimated_dbh_cm,</w:t>
              <w:br/>
              <w:t>correction_factor, source, created_at</w:t>
            </w:r>
          </w:p>
        </w:tc>
        <w:tc>
          <w:tcPr>
            <w:tcW w:type="dxa" w:w="2929"/>
          </w:tcPr>
          <w:p>
            <w:r>
              <w:rPr>
                <w:rFonts w:ascii="Times New Roman" w:hAnsi="Times New Roman" w:eastAsia="標楷體" w:cs="標楷體"/>
                <w:sz w:val="20"/>
              </w:rPr>
              <w:t>實測回饋記錄，source 為 manual 或 reference</w:t>
            </w:r>
          </w:p>
        </w:tc>
      </w:tr>
      <w:tr>
        <w:tc>
          <w:tcPr>
            <w:tcW w:type="dxa" w:w="2929"/>
          </w:tcPr>
          <w:p>
            <w:r>
              <w:rPr>
                <w:rFonts w:ascii="Times New Roman" w:hAnsi="Times New Roman" w:eastAsia="標楷體" w:cs="標楷體"/>
                <w:sz w:val="20"/>
              </w:rPr>
              <w:t>correction_factor_log</w:t>
            </w:r>
          </w:p>
        </w:tc>
        <w:tc>
          <w:tcPr>
            <w:tcW w:type="dxa" w:w="2929"/>
          </w:tcPr>
          <w:p>
            <w:r>
              <w:rPr>
                <w:rFonts w:ascii="Times New Roman" w:hAnsi="Times New Roman" w:eastAsia="標楷體" w:cs="標楷體"/>
                <w:sz w:val="20"/>
              </w:rPr>
              <w:t>id, species, factor, sample_count, std_dev,</w:t>
              <w:br/>
              <w:t>triggered_by, created_at</w:t>
            </w:r>
          </w:p>
        </w:tc>
        <w:tc>
          <w:tcPr>
            <w:tcW w:type="dxa" w:w="2929"/>
          </w:tcPr>
          <w:p>
            <w:r>
              <w:rPr>
                <w:rFonts w:ascii="Times New Roman" w:hAnsi="Times New Roman" w:eastAsia="標楷體" w:cs="標楷體"/>
                <w:sz w:val="20"/>
              </w:rPr>
              <w:t>修正因子演進快照帳本，每次觸發更新後寫入</w:t>
            </w:r>
          </w:p>
        </w:tc>
      </w:tr>
      <w:tr>
        <w:tc>
          <w:tcPr>
            <w:tcW w:type="dxa" w:w="2929"/>
          </w:tcPr>
          <w:p>
            <w:r>
              <w:rPr>
                <w:rFonts w:ascii="Times New Roman" w:hAnsi="Times New Roman" w:eastAsia="標楷體" w:cs="標楷體"/>
                <w:sz w:val="20"/>
              </w:rPr>
              <w:t>blockchain_jobs</w:t>
            </w:r>
          </w:p>
        </w:tc>
        <w:tc>
          <w:tcPr>
            <w:tcW w:type="dxa" w:w="2929"/>
          </w:tcPr>
          <w:p>
            <w:r>
              <w:rPr>
                <w:rFonts w:ascii="Times New Roman" w:hAnsi="Times New Roman" w:eastAsia="標楷體" w:cs="標楷體"/>
                <w:sz w:val="20"/>
              </w:rPr>
              <w:t>id, tree_id, tx_status, tx_hash,</w:t>
              <w:br/>
              <w:t>retry_count, last_attempted_at</w:t>
            </w:r>
          </w:p>
        </w:tc>
        <w:tc>
          <w:tcPr>
            <w:tcW w:type="dxa" w:w="2929"/>
          </w:tcPr>
          <w:p>
            <w:r>
              <w:rPr>
                <w:rFonts w:ascii="Times New Roman" w:hAnsi="Times New Roman" w:eastAsia="標楷體" w:cs="標楷體"/>
                <w:sz w:val="20"/>
              </w:rPr>
              <w:t>上鏈任務佇列，失敗時記錄重試次數</w:t>
            </w:r>
          </w:p>
        </w:tc>
      </w:tr>
      <w:tr>
        <w:tc>
          <w:tcPr>
            <w:tcW w:type="dxa" w:w="2929"/>
          </w:tcPr>
          <w:p>
            <w:r>
              <w:rPr>
                <w:rFonts w:ascii="Times New Roman" w:hAnsi="Times New Roman" w:eastAsia="標楷體" w:cs="標楷體"/>
                <w:sz w:val="20"/>
              </w:rPr>
              <w:t>evaluation_runs</w:t>
            </w:r>
          </w:p>
        </w:tc>
        <w:tc>
          <w:tcPr>
            <w:tcW w:type="dxa" w:w="2929"/>
          </w:tcPr>
          <w:p>
            <w:r>
              <w:rPr>
                <w:rFonts w:ascii="Times New Roman" w:hAnsi="Times New Roman" w:eastAsia="標楷體" w:cs="標楷體"/>
                <w:sz w:val="20"/>
              </w:rPr>
              <w:t>id, run_id, timestamp, sample_count,</w:t>
              <w:br/>
              <w:t>mae, mape, rmse, r2, bias, notes</w:t>
            </w:r>
          </w:p>
        </w:tc>
        <w:tc>
          <w:tcPr>
            <w:tcW w:type="dxa" w:w="2929"/>
          </w:tcPr>
          <w:p>
            <w:r>
              <w:rPr>
                <w:rFonts w:ascii="Times New Roman" w:hAnsi="Times New Roman" w:eastAsia="標楷體" w:cs="標楷體"/>
                <w:sz w:val="20"/>
              </w:rPr>
              <w:t>評估指標歷史記錄，含 Bootstrap 信賴區間</w:t>
            </w:r>
          </w:p>
        </w:tc>
      </w:tr>
    </w:tbl>
    <w:p/>
    <w:p>
      <w:pPr>
        <w:jc w:val="center"/>
      </w:pPr>
      <w:r>
        <w:rPr>
          <w:rFonts w:ascii="Times New Roman" w:hAnsi="Times New Roman" w:eastAsia="標楷體" w:cs="標楷體"/>
          <w:sz w:val="22"/>
        </w:rPr>
        <w:t>表 3-3　主要資料表欄位設計</w:t>
      </w:r>
    </w:p>
    <w:p/>
    <w:p>
      <w:pPr>
        <w:pStyle w:val="Heading2"/>
      </w:pPr>
      <w:bookmarkStart w:id="38" w:name="_Toc10037"/>
      <w:r>
        <w:rPr>
          <w:rFonts w:ascii="Times New Roman" w:hAnsi="Times New Roman" w:eastAsia="標楷體" w:cs="標楷體"/>
          <w:sz w:val="26"/>
        </w:rPr>
        <w:t>3.8 應用程式介面 端點設計</w:t>
      </w:r>
      <w:bookmarkEnd w:id="38"/>
    </w:p>
    <w:p>
      <w:pPr>
        <w:spacing w:after="120"/>
        <w:ind w:firstLine="480"/>
      </w:pPr>
      <w:r>
        <w:rPr>
          <w:rFonts w:ascii="Times New Roman" w:hAnsi="Times New Roman" w:eastAsia="標楷體" w:cs="標楷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eastAsia="標楷體" w:cs="標楷體"/>
                <w:b/>
                <w:sz w:val="20"/>
              </w:rPr>
              <w:t>端點</w:t>
            </w:r>
          </w:p>
        </w:tc>
        <w:tc>
          <w:tcPr>
            <w:tcW w:type="dxa" w:w="2197"/>
          </w:tcPr>
          <w:p>
            <w:r>
              <w:rPr>
                <w:rFonts w:ascii="Times New Roman" w:hAnsi="Times New Roman" w:eastAsia="標楷體" w:cs="標楷體"/>
                <w:b/>
                <w:sz w:val="20"/>
              </w:rPr>
              <w:t>方法</w:t>
            </w:r>
          </w:p>
        </w:tc>
        <w:tc>
          <w:tcPr>
            <w:tcW w:type="dxa" w:w="2197"/>
          </w:tcPr>
          <w:p>
            <w:r>
              <w:rPr>
                <w:rFonts w:ascii="Times New Roman" w:hAnsi="Times New Roman" w:eastAsia="標楷體" w:cs="標楷體"/>
                <w:b/>
                <w:sz w:val="20"/>
              </w:rPr>
              <w:t>功能</w:t>
            </w:r>
          </w:p>
        </w:tc>
        <w:tc>
          <w:tcPr>
            <w:tcW w:type="dxa" w:w="2197"/>
          </w:tcPr>
          <w:p>
            <w:r>
              <w:rPr>
                <w:rFonts w:ascii="Times New Roman" w:hAnsi="Times New Roman" w:eastAsia="標楷體" w:cs="標楷體"/>
                <w:b/>
                <w:sz w:val="20"/>
              </w:rPr>
              <w:t>主要回應欄位</w:t>
            </w:r>
          </w:p>
        </w:tc>
      </w:tr>
      <w:tr>
        <w:tc>
          <w:tcPr>
            <w:tcW w:type="dxa" w:w="2197"/>
          </w:tcPr>
          <w:p>
            <w:r>
              <w:rPr>
                <w:rFonts w:ascii="Times New Roman" w:hAnsi="Times New Roman" w:eastAsia="標楷體" w:cs="標楷體"/>
                <w:sz w:val="20"/>
              </w:rPr>
              <w:t>POST /api/upload</w:t>
            </w:r>
          </w:p>
        </w:tc>
        <w:tc>
          <w:tcPr>
            <w:tcW w:type="dxa" w:w="2197"/>
          </w:tcPr>
          <w:p>
            <w:r>
              <w:rPr>
                <w:rFonts w:ascii="Times New Roman" w:hAnsi="Times New Roman" w:eastAsia="標楷體" w:cs="標楷體"/>
                <w:sz w:val="20"/>
              </w:rPr>
              <w:t>POST</w:t>
            </w:r>
          </w:p>
        </w:tc>
        <w:tc>
          <w:tcPr>
            <w:tcW w:type="dxa" w:w="2197"/>
          </w:tcPr>
          <w:p>
            <w:r>
              <w:rPr>
                <w:rFonts w:ascii="Times New Roman" w:hAnsi="Times New Roman" w:eastAsia="標楷體" w:cs="標楷體"/>
                <w:sz w:val="20"/>
              </w:rPr>
              <w:t>接收影片，啟動非同步量測流程</w:t>
            </w:r>
          </w:p>
        </w:tc>
        <w:tc>
          <w:tcPr>
            <w:tcW w:type="dxa" w:w="2197"/>
          </w:tcPr>
          <w:p>
            <w:r>
              <w:rPr>
                <w:rFonts w:ascii="Times New Roman" w:hAnsi="Times New Roman" w:eastAsia="標楷體" w:cs="標楷體"/>
                <w:sz w:val="20"/>
              </w:rPr>
              <w:t>jobId, status</w:t>
            </w:r>
          </w:p>
        </w:tc>
      </w:tr>
      <w:tr>
        <w:tc>
          <w:tcPr>
            <w:tcW w:type="dxa" w:w="2197"/>
          </w:tcPr>
          <w:p>
            <w:r>
              <w:rPr>
                <w:rFonts w:ascii="Times New Roman" w:hAnsi="Times New Roman" w:eastAsia="標楷體" w:cs="標楷體"/>
                <w:sz w:val="20"/>
              </w:rPr>
              <w:t>GET /api/status/:jobId</w:t>
            </w:r>
          </w:p>
        </w:tc>
        <w:tc>
          <w:tcPr>
            <w:tcW w:type="dxa" w:w="2197"/>
          </w:tcPr>
          <w:p>
            <w:r>
              <w:rPr>
                <w:rFonts w:ascii="Times New Roman" w:hAnsi="Times New Roman" w:eastAsia="標楷體" w:cs="標楷體"/>
                <w:sz w:val="20"/>
              </w:rPr>
              <w:t>GET</w:t>
            </w:r>
          </w:p>
        </w:tc>
        <w:tc>
          <w:tcPr>
            <w:tcW w:type="dxa" w:w="2197"/>
          </w:tcPr>
          <w:p>
            <w:r>
              <w:rPr>
                <w:rFonts w:ascii="Times New Roman" w:hAnsi="Times New Roman" w:eastAsia="標楷體" w:cs="標楷體"/>
                <w:sz w:val="20"/>
              </w:rPr>
              <w:t>輪詢量測進度與結果</w:t>
            </w:r>
          </w:p>
        </w:tc>
        <w:tc>
          <w:tcPr>
            <w:tcW w:type="dxa" w:w="2197"/>
          </w:tcPr>
          <w:p>
            <w:r>
              <w:rPr>
                <w:rFonts w:ascii="Times New Roman" w:hAnsi="Times New Roman" w:eastAsia="標楷體" w:cs="標楷體"/>
                <w:sz w:val="20"/>
              </w:rPr>
              <w:t>status, dbhCm, species, carbonKg, confidence, txHash</w:t>
            </w:r>
          </w:p>
        </w:tc>
      </w:tr>
      <w:tr>
        <w:tc>
          <w:tcPr>
            <w:tcW w:type="dxa" w:w="2197"/>
          </w:tcPr>
          <w:p>
            <w:r>
              <w:rPr>
                <w:rFonts w:ascii="Times New Roman" w:hAnsi="Times New Roman" w:eastAsia="標楷體" w:cs="標楷體"/>
                <w:sz w:val="20"/>
              </w:rPr>
              <w:t>POST /api/ground-truth</w:t>
            </w:r>
          </w:p>
        </w:tc>
        <w:tc>
          <w:tcPr>
            <w:tcW w:type="dxa" w:w="2197"/>
          </w:tcPr>
          <w:p>
            <w:r>
              <w:rPr>
                <w:rFonts w:ascii="Times New Roman" w:hAnsi="Times New Roman" w:eastAsia="標楷體" w:cs="標楷體"/>
                <w:sz w:val="20"/>
              </w:rPr>
              <w:t>POST</w:t>
            </w:r>
          </w:p>
        </w:tc>
        <w:tc>
          <w:tcPr>
            <w:tcW w:type="dxa" w:w="2197"/>
          </w:tcPr>
          <w:p>
            <w:r>
              <w:rPr>
                <w:rFonts w:ascii="Times New Roman" w:hAnsi="Times New Roman" w:eastAsia="標楷體" w:cs="標楷體"/>
                <w:sz w:val="20"/>
              </w:rPr>
              <w:t>手動回報實測胸高直徑，觸發修正因子更新</w:t>
            </w:r>
          </w:p>
        </w:tc>
        <w:tc>
          <w:tcPr>
            <w:tcW w:type="dxa" w:w="2197"/>
          </w:tcPr>
          <w:p>
            <w:r>
              <w:rPr>
                <w:rFonts w:ascii="Times New Roman" w:hAnsi="Times New Roman" w:eastAsia="標楷體" w:cs="標楷體"/>
                <w:sz w:val="20"/>
              </w:rPr>
              <w:t>correctionFactor, snapshotTriggered</w:t>
            </w:r>
          </w:p>
        </w:tc>
      </w:tr>
      <w:tr>
        <w:tc>
          <w:tcPr>
            <w:tcW w:type="dxa" w:w="2197"/>
          </w:tcPr>
          <w:p>
            <w:r>
              <w:rPr>
                <w:rFonts w:ascii="Times New Roman" w:hAnsi="Times New Roman" w:eastAsia="標楷體" w:cs="標楷體"/>
                <w:sz w:val="20"/>
              </w:rPr>
              <w:t>GET /api/correction-factors/:species/history</w:t>
            </w:r>
          </w:p>
        </w:tc>
        <w:tc>
          <w:tcPr>
            <w:tcW w:type="dxa" w:w="2197"/>
          </w:tcPr>
          <w:p>
            <w:r>
              <w:rPr>
                <w:rFonts w:ascii="Times New Roman" w:hAnsi="Times New Roman" w:eastAsia="標楷體" w:cs="標楷體"/>
                <w:sz w:val="20"/>
              </w:rPr>
              <w:t>GET</w:t>
            </w:r>
          </w:p>
        </w:tc>
        <w:tc>
          <w:tcPr>
            <w:tcW w:type="dxa" w:w="2197"/>
          </w:tcPr>
          <w:p>
            <w:r>
              <w:rPr>
                <w:rFonts w:ascii="Times New Roman" w:hAnsi="Times New Roman" w:eastAsia="標楷體" w:cs="標楷體"/>
                <w:sz w:val="20"/>
              </w:rPr>
              <w:t>取得樹種修正因子演進歷程</w:t>
            </w:r>
          </w:p>
        </w:tc>
        <w:tc>
          <w:tcPr>
            <w:tcW w:type="dxa" w:w="2197"/>
          </w:tcPr>
          <w:p>
            <w:r>
              <w:rPr>
                <w:rFonts w:ascii="Times New Roman" w:hAnsi="Times New Roman" w:eastAsia="標楷體" w:cs="標楷體"/>
                <w:sz w:val="20"/>
              </w:rPr>
              <w:t>history[ factor, sampleCount, triggeredBy, createdAt ]</w:t>
            </w:r>
          </w:p>
        </w:tc>
      </w:tr>
      <w:tr>
        <w:tc>
          <w:tcPr>
            <w:tcW w:type="dxa" w:w="2197"/>
          </w:tcPr>
          <w:p>
            <w:r>
              <w:rPr>
                <w:rFonts w:ascii="Times New Roman" w:hAnsi="Times New Roman" w:eastAsia="標楷體" w:cs="標楷體"/>
                <w:sz w:val="20"/>
              </w:rPr>
              <w:t>POST /api/evaluation/run</w:t>
            </w:r>
          </w:p>
        </w:tc>
        <w:tc>
          <w:tcPr>
            <w:tcW w:type="dxa" w:w="2197"/>
          </w:tcPr>
          <w:p>
            <w:r>
              <w:rPr>
                <w:rFonts w:ascii="Times New Roman" w:hAnsi="Times New Roman" w:eastAsia="標楷體" w:cs="標楷體"/>
                <w:sz w:val="20"/>
              </w:rPr>
              <w:t>POST</w:t>
            </w:r>
          </w:p>
        </w:tc>
        <w:tc>
          <w:tcPr>
            <w:tcW w:type="dxa" w:w="2197"/>
          </w:tcPr>
          <w:p>
            <w:r>
              <w:rPr>
                <w:rFonts w:ascii="Times New Roman" w:hAnsi="Times New Roman" w:eastAsia="標楷體" w:cs="標楷體"/>
                <w:sz w:val="20"/>
              </w:rPr>
              <w:t>觸發評估計算，寫入 evaluation_runs</w:t>
            </w:r>
          </w:p>
        </w:tc>
        <w:tc>
          <w:tcPr>
            <w:tcW w:type="dxa" w:w="2197"/>
          </w:tcPr>
          <w:p>
            <w:r>
              <w:rPr>
                <w:rFonts w:ascii="Times New Roman" w:hAnsi="Times New Roman" w:eastAsia="標楷體" w:cs="標楷體"/>
                <w:sz w:val="20"/>
              </w:rPr>
              <w:t>mae, mape, rmse, r2, bias, bootstrapCI</w:t>
            </w:r>
          </w:p>
        </w:tc>
      </w:tr>
      <w:tr>
        <w:tc>
          <w:tcPr>
            <w:tcW w:type="dxa" w:w="2197"/>
          </w:tcPr>
          <w:p>
            <w:r>
              <w:rPr>
                <w:rFonts w:ascii="Times New Roman" w:hAnsi="Times New Roman" w:eastAsia="標楷體" w:cs="標楷體"/>
                <w:sz w:val="20"/>
              </w:rPr>
              <w:t>GET /api/evaluation/report</w:t>
            </w:r>
          </w:p>
        </w:tc>
        <w:tc>
          <w:tcPr>
            <w:tcW w:type="dxa" w:w="2197"/>
          </w:tcPr>
          <w:p>
            <w:r>
              <w:rPr>
                <w:rFonts w:ascii="Times New Roman" w:hAnsi="Times New Roman" w:eastAsia="標楷體" w:cs="標楷體"/>
                <w:sz w:val="20"/>
              </w:rPr>
              <w:t>GET</w:t>
            </w:r>
          </w:p>
        </w:tc>
        <w:tc>
          <w:tcPr>
            <w:tcW w:type="dxa" w:w="2197"/>
          </w:tcPr>
          <w:p>
            <w:r>
              <w:rPr>
                <w:rFonts w:ascii="Times New Roman" w:hAnsi="Times New Roman" w:eastAsia="標楷體" w:cs="標楷體"/>
                <w:sz w:val="20"/>
              </w:rPr>
              <w:t>取得 Markdown 格式評估報告</w:t>
            </w:r>
          </w:p>
        </w:tc>
        <w:tc>
          <w:tcPr>
            <w:tcW w:type="dxa" w:w="2197"/>
          </w:tcPr>
          <w:p>
            <w:r>
              <w:rPr>
                <w:rFonts w:ascii="Times New Roman" w:hAnsi="Times New Roman" w:eastAsia="標楷體" w:cs="標楷體"/>
                <w:sz w:val="20"/>
              </w:rPr>
              <w:t>report (Markdown string)</w:t>
            </w:r>
          </w:p>
        </w:tc>
      </w:tr>
    </w:tbl>
    <w:p/>
    <w:p>
      <w:pPr>
        <w:jc w:val="center"/>
      </w:pPr>
      <w:r>
        <w:rPr>
          <w:rFonts w:ascii="Times New Roman" w:hAnsi="Times New Roman" w:eastAsia="標楷體" w:cs="標楷體"/>
          <w:sz w:val="22"/>
        </w:rPr>
        <w:t>表 3-4　主要 應用程式介面 端點設計</w:t>
      </w:r>
    </w:p>
    <w:p/>
    <w:p>
      <w:pPr>
        <w:pStyle w:val="Heading2"/>
      </w:pPr>
      <w:bookmarkStart w:id="39" w:name="_Toc10038"/>
      <w:r>
        <w:rPr>
          <w:rFonts w:ascii="Times New Roman" w:hAnsi="Times New Roman" w:eastAsia="標楷體" w:cs="標楷體"/>
          <w:sz w:val="26"/>
        </w:rPr>
        <w:t>3.9 研究評估輸出引擎</w:t>
      </w:r>
      <w:bookmarkEnd w:id="39"/>
    </w:p>
    <w:p>
      <w:pPr>
        <w:spacing w:after="120"/>
        <w:ind w:firstLine="480"/>
      </w:pPr>
      <w:r>
        <w:rPr>
          <w:rFonts w:ascii="Times New Roman" w:hAnsi="Times New Roman" w:eastAsia="標楷體" w:cs="標楷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Times New Roman" w:hAnsi="Times New Roman" w:eastAsia="標楷體" w:cs="標楷體"/>
          <w:sz w:val="24"/>
        </w:rPr>
        <w:t>平均絕對誤差= (1/n) Σ |actual_i − estimated_i|</w:t>
      </w:r>
    </w:p>
    <w:p>
      <w:pPr>
        <w:spacing w:after="120"/>
      </w:pPr>
      <w:r>
        <w:rPr>
          <w:rFonts w:ascii="Times New Roman" w:hAnsi="Times New Roman" w:eastAsia="標楷體" w:cs="標楷體"/>
          <w:sz w:val="24"/>
        </w:rPr>
        <w:t>平均絕對百分比誤差= (100/n) Σ |actual_i − estimated_i| / actual_i</w:t>
      </w:r>
    </w:p>
    <w:p>
      <w:pPr>
        <w:spacing w:after="120"/>
      </w:pPr>
      <w:r>
        <w:rPr>
          <w:rFonts w:ascii="Times New Roman" w:hAnsi="Times New Roman" w:eastAsia="標楷體" w:cs="標楷體"/>
          <w:sz w:val="24"/>
        </w:rPr>
        <w:t>均方根誤差= sqrt((1/n) Σ (actual_i − estimated_i)²)</w:t>
      </w:r>
    </w:p>
    <w:p>
      <w:pPr>
        <w:spacing w:after="120"/>
      </w:pPr>
      <w:r>
        <w:rPr>
          <w:rFonts w:ascii="Times New Roman" w:hAnsi="Times New Roman" w:eastAsia="標楷體" w:cs="標楷體"/>
          <w:sz w:val="24"/>
        </w:rPr>
        <w:t>決定係數（Coefficient of Determination, R²）= 1 − SS_res / SS_tot</w:t>
      </w:r>
    </w:p>
    <w:p>
      <w:pPr>
        <w:spacing w:after="120"/>
        <w:ind w:firstLine="480"/>
      </w:pPr>
      <w:r>
        <w:rPr>
          <w:rFonts w:ascii="Times New Roman" w:hAnsi="Times New Roman" w:eastAsia="標楷體" w:cs="標楷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bookmarkStart w:id="40" w:name="_Toc10039"/>
      <w:r>
        <w:rPr>
          <w:rFonts w:ascii="Times New Roman" w:hAnsi="Times New Roman" w:eastAsia="標楷體" w:cs="標楷體"/>
          <w:b/>
          <w:sz w:val="28"/>
        </w:rPr>
        <w:t>第四章 解決方案展示與評估</w:t>
      </w:r>
      <w:bookmarkEnd w:id="40"/>
    </w:p>
    <w:p>
      <w:pPr>
        <w:pStyle w:val="Heading2"/>
      </w:pPr>
      <w:bookmarkStart w:id="41" w:name="_Toc10040"/>
      <w:r>
        <w:rPr>
          <w:rFonts w:ascii="Times New Roman" w:hAnsi="Times New Roman" w:eastAsia="標楷體" w:cs="標楷體"/>
          <w:b/>
          <w:sz w:val="24"/>
        </w:rPr>
        <w:t>4.1 實驗設計與田野量測</w:t>
      </w:r>
      <w:bookmarkEnd w:id="41"/>
    </w:p>
    <w:p>
      <w:pPr>
        <w:spacing w:after="120"/>
        <w:ind w:firstLine="480"/>
      </w:pPr>
      <w:r>
        <w:rPr>
          <w:rFonts w:ascii="Times New Roman" w:hAnsi="Times New Roman" w:eastAsia="標楷體" w:cs="標楷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Times New Roman" w:hAnsi="Times New Roman" w:eastAsia="標楷體" w:cs="標楷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Times New Roman" w:hAnsi="Times New Roman" w:eastAsia="標楷體" w:cs="標楷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rPr>
          <w:rFonts w:ascii="Times New Roman" w:hAnsi="Times New Roman" w:eastAsia="標楷體" w:cs="標楷體"/>
        </w:rP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Times New Roman" w:hAnsi="Times New Roman" w:eastAsia="標楷體" w:cs="標楷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Times New Roman" w:hAnsi="Times New Roman" w:eastAsia="標楷體" w:cs="標楷體"/>
                <w:sz w:val="22"/>
              </w:rPr>
              <w:t>路徑</w:t>
            </w:r>
          </w:p>
        </w:tc>
        <w:tc>
          <w:tcPr>
            <w:tcW w:type="dxa" w:w="1465"/>
          </w:tcPr>
          <w:p>
            <w:r>
              <w:rPr>
                <w:rFonts w:ascii="Times New Roman" w:hAnsi="Times New Roman" w:eastAsia="標楷體" w:cs="標楷體"/>
                <w:sz w:val="22"/>
              </w:rPr>
              <w:t>框架設計特徵</w:t>
            </w:r>
          </w:p>
        </w:tc>
        <w:tc>
          <w:tcPr>
            <w:tcW w:type="dxa" w:w="1465"/>
          </w:tcPr>
          <w:p>
            <w:r>
              <w:rPr>
                <w:rFonts w:ascii="Times New Roman" w:hAnsi="Times New Roman" w:eastAsia="標楷體" w:cs="標楷體"/>
                <w:sz w:val="22"/>
              </w:rPr>
              <w:t>有效樣本 N</w:t>
            </w:r>
          </w:p>
        </w:tc>
        <w:tc>
          <w:tcPr>
            <w:tcW w:type="dxa" w:w="1465"/>
          </w:tcPr>
          <w:p>
            <w:r>
              <w:rPr>
                <w:rFonts w:ascii="Times New Roman" w:hAnsi="Times New Roman" w:eastAsia="標楷體" w:cs="標楷體"/>
                <w:sz w:val="22"/>
              </w:rPr>
              <w:t>MAPE</w:t>
            </w:r>
          </w:p>
        </w:tc>
        <w:tc>
          <w:tcPr>
            <w:tcW w:type="dxa" w:w="1465"/>
          </w:tcPr>
          <w:p>
            <w:r>
              <w:rPr>
                <w:rFonts w:ascii="Times New Roman" w:hAnsi="Times New Roman" w:eastAsia="標楷體" w:cs="標楷體"/>
                <w:sz w:val="22"/>
              </w:rPr>
              <w:t>通過率（APE ≤ 25%）</w:t>
            </w:r>
          </w:p>
        </w:tc>
      </w:tr>
      <w:tr>
        <w:tc>
          <w:tcPr>
            <w:tcW w:type="dxa" w:w="1465"/>
          </w:tcPr>
          <w:p>
            <w:r>
              <w:rPr>
                <w:rFonts w:ascii="Times New Roman" w:hAnsi="Times New Roman" w:eastAsia="標楷體" w:cs="標楷體"/>
                <w:sz w:val="22"/>
              </w:rPr>
              <w:t>P1a</w:t>
            </w:r>
          </w:p>
        </w:tc>
        <w:tc>
          <w:tcPr>
            <w:tcW w:type="dxa" w:w="1465"/>
          </w:tcPr>
          <w:p>
            <w:r>
              <w:rPr>
                <w:rFonts w:ascii="Times New Roman" w:hAnsi="Times New Roman" w:eastAsia="標楷體" w:cs="標楷體"/>
                <w:sz w:val="22"/>
              </w:rPr>
              <w:t>I-frame 取幀・最清晰 8 幀・960p 縮圖</w:t>
            </w:r>
          </w:p>
        </w:tc>
        <w:tc>
          <w:tcPr>
            <w:tcW w:type="dxa" w:w="1465"/>
          </w:tcPr>
          <w:p>
            <w:r>
              <w:rPr>
                <w:rFonts w:ascii="Times New Roman" w:hAnsi="Times New Roman" w:eastAsia="標楷體" w:cs="標楷體"/>
                <w:sz w:val="22"/>
              </w:rPr>
              <w:t>21</w:t>
            </w:r>
          </w:p>
        </w:tc>
        <w:tc>
          <w:tcPr>
            <w:tcW w:type="dxa" w:w="1465"/>
          </w:tcPr>
          <w:p>
            <w:r>
              <w:rPr>
                <w:rFonts w:ascii="Times New Roman" w:hAnsi="Times New Roman" w:eastAsia="標楷體" w:cs="標楷體"/>
                <w:sz w:val="22"/>
              </w:rPr>
              <w:t>29.8%</w:t>
            </w:r>
          </w:p>
        </w:tc>
        <w:tc>
          <w:tcPr>
            <w:tcW w:type="dxa" w:w="1465"/>
          </w:tcPr>
          <w:p>
            <w:r>
              <w:rPr>
                <w:rFonts w:ascii="Times New Roman" w:hAnsi="Times New Roman" w:eastAsia="標楷體" w:cs="標楷體"/>
                <w:sz w:val="22"/>
              </w:rPr>
              <w:t>9/21（42.9%）</w:t>
            </w:r>
          </w:p>
        </w:tc>
      </w:tr>
      <w:tr>
        <w:tc>
          <w:tcPr>
            <w:tcW w:type="dxa" w:w="1465"/>
          </w:tcPr>
          <w:p>
            <w:r>
              <w:rPr>
                <w:rFonts w:ascii="Times New Roman" w:hAnsi="Times New Roman" w:eastAsia="標楷體" w:cs="標楷體"/>
                <w:sz w:val="22"/>
              </w:rPr>
              <w:t>P1b</w:t>
            </w:r>
          </w:p>
        </w:tc>
        <w:tc>
          <w:tcPr>
            <w:tcW w:type="dxa" w:w="1465"/>
          </w:tcPr>
          <w:p>
            <w:r>
              <w:rPr>
                <w:rFonts w:ascii="Times New Roman" w:hAnsi="Times New Roman" w:eastAsia="標楷體" w:cs="標楷體"/>
                <w:sz w:val="22"/>
              </w:rPr>
              <w:t>I-frame 取幀・最清晰 8 幀・原解析度</w:t>
            </w:r>
          </w:p>
        </w:tc>
        <w:tc>
          <w:tcPr>
            <w:tcW w:type="dxa" w:w="1465"/>
          </w:tcPr>
          <w:p>
            <w:r>
              <w:rPr>
                <w:rFonts w:ascii="Times New Roman" w:hAnsi="Times New Roman" w:eastAsia="標楷體" w:cs="標楷體"/>
                <w:sz w:val="22"/>
              </w:rPr>
              <w:t>18</w:t>
            </w:r>
          </w:p>
        </w:tc>
        <w:tc>
          <w:tcPr>
            <w:tcW w:type="dxa" w:w="1465"/>
          </w:tcPr>
          <w:p>
            <w:r>
              <w:rPr>
                <w:rFonts w:ascii="Times New Roman" w:hAnsi="Times New Roman" w:eastAsia="標楷體" w:cs="標楷體"/>
                <w:sz w:val="22"/>
              </w:rPr>
              <w:t>25.8%</w:t>
            </w:r>
          </w:p>
        </w:tc>
        <w:tc>
          <w:tcPr>
            <w:tcW w:type="dxa" w:w="1465"/>
          </w:tcPr>
          <w:p>
            <w:r>
              <w:rPr>
                <w:rFonts w:ascii="Times New Roman" w:hAnsi="Times New Roman" w:eastAsia="標楷體" w:cs="標楷體"/>
                <w:sz w:val="22"/>
              </w:rPr>
              <w:t>8/18（44.4%）</w:t>
            </w:r>
          </w:p>
        </w:tc>
      </w:tr>
      <w:tr>
        <w:tc>
          <w:tcPr>
            <w:tcW w:type="dxa" w:w="1465"/>
          </w:tcPr>
          <w:p>
            <w:r>
              <w:rPr>
                <w:rFonts w:ascii="Times New Roman" w:hAnsi="Times New Roman" w:eastAsia="標楷體" w:cs="標楷體"/>
                <w:sz w:val="22"/>
              </w:rPr>
              <w:t>P2</w:t>
            </w:r>
          </w:p>
        </w:tc>
        <w:tc>
          <w:tcPr>
            <w:tcW w:type="dxa" w:w="1465"/>
          </w:tcPr>
          <w:p>
            <w:r>
              <w:rPr>
                <w:rFonts w:ascii="Times New Roman" w:hAnsi="Times New Roman" w:eastAsia="標楷體" w:cs="標楷體"/>
                <w:sz w:val="22"/>
              </w:rPr>
              <w:t>I-frame 取幀・時間均勻 8 幀・960p 縮圖</w:t>
            </w:r>
          </w:p>
        </w:tc>
        <w:tc>
          <w:tcPr>
            <w:tcW w:type="dxa" w:w="1465"/>
          </w:tcPr>
          <w:p>
            <w:r>
              <w:rPr>
                <w:rFonts w:ascii="Times New Roman" w:hAnsi="Times New Roman" w:eastAsia="標楷體" w:cs="標楷體"/>
                <w:sz w:val="22"/>
              </w:rPr>
              <w:t>23</w:t>
            </w:r>
          </w:p>
        </w:tc>
        <w:tc>
          <w:tcPr>
            <w:tcW w:type="dxa" w:w="1465"/>
          </w:tcPr>
          <w:p>
            <w:r>
              <w:rPr>
                <w:rFonts w:ascii="Times New Roman" w:hAnsi="Times New Roman" w:eastAsia="標楷體" w:cs="標楷體"/>
                <w:sz w:val="22"/>
              </w:rPr>
              <w:t>26.0%</w:t>
            </w:r>
          </w:p>
        </w:tc>
        <w:tc>
          <w:tcPr>
            <w:tcW w:type="dxa" w:w="1465"/>
          </w:tcPr>
          <w:p>
            <w:r>
              <w:rPr>
                <w:rFonts w:ascii="Times New Roman" w:hAnsi="Times New Roman" w:eastAsia="標楷體" w:cs="標楷體"/>
                <w:sz w:val="22"/>
              </w:rPr>
              <w:t>11/23（47.8%）</w:t>
            </w:r>
          </w:p>
        </w:tc>
      </w:tr>
      <w:tr>
        <w:tc>
          <w:tcPr>
            <w:tcW w:type="dxa" w:w="1465"/>
          </w:tcPr>
          <w:p>
            <w:r>
              <w:rPr>
                <w:rFonts w:ascii="Times New Roman" w:hAnsi="Times New Roman" w:eastAsia="標楷體" w:cs="標楷體"/>
                <w:sz w:val="22"/>
              </w:rPr>
              <w:t>P3</w:t>
            </w:r>
          </w:p>
        </w:tc>
        <w:tc>
          <w:tcPr>
            <w:tcW w:type="dxa" w:w="1465"/>
          </w:tcPr>
          <w:p>
            <w:r>
              <w:rPr>
                <w:rFonts w:ascii="Times New Roman" w:hAnsi="Times New Roman" w:eastAsia="標楷體" w:cs="標楷體"/>
                <w:sz w:val="22"/>
              </w:rPr>
              <w:t>Gemini 直接解影片・自選幀・N=5</w:t>
            </w:r>
          </w:p>
        </w:tc>
        <w:tc>
          <w:tcPr>
            <w:tcW w:type="dxa" w:w="1465"/>
          </w:tcPr>
          <w:p>
            <w:r>
              <w:rPr>
                <w:rFonts w:ascii="Times New Roman" w:hAnsi="Times New Roman" w:eastAsia="標楷體" w:cs="標楷體"/>
                <w:sz w:val="22"/>
              </w:rPr>
              <w:t>29</w:t>
            </w:r>
          </w:p>
        </w:tc>
        <w:tc>
          <w:tcPr>
            <w:tcW w:type="dxa" w:w="1465"/>
          </w:tcPr>
          <w:p>
            <w:r>
              <w:rPr>
                <w:rFonts w:ascii="Times New Roman" w:hAnsi="Times New Roman" w:eastAsia="標楷體" w:cs="標楷體"/>
                <w:sz w:val="22"/>
              </w:rPr>
              <w:t>26.5%</w:t>
            </w:r>
          </w:p>
        </w:tc>
        <w:tc>
          <w:tcPr>
            <w:tcW w:type="dxa" w:w="1465"/>
          </w:tcPr>
          <w:p>
            <w:r>
              <w:rPr>
                <w:rFonts w:ascii="Times New Roman" w:hAnsi="Times New Roman" w:eastAsia="標楷體" w:cs="標楷體"/>
                <w:sz w:val="22"/>
              </w:rPr>
              <w:t>13/29（44.8%）</w:t>
            </w:r>
          </w:p>
        </w:tc>
      </w:tr>
      <w:tr>
        <w:tc>
          <w:tcPr>
            <w:tcW w:type="dxa" w:w="1465"/>
          </w:tcPr>
          <w:p>
            <w:r>
              <w:rPr>
                <w:rFonts w:ascii="Times New Roman" w:hAnsi="Times New Roman" w:eastAsia="標楷體" w:cs="標楷體"/>
                <w:b/>
                <w:sz w:val="22"/>
              </w:rPr>
              <w:t>P4（生產）</w:t>
            </w:r>
          </w:p>
        </w:tc>
        <w:tc>
          <w:tcPr>
            <w:tcW w:type="dxa" w:w="1465"/>
          </w:tcPr>
          <w:p>
            <w:r>
              <w:rPr>
                <w:rFonts w:ascii="Times New Roman" w:hAnsi="Times New Roman" w:eastAsia="標楷體" w:cs="標楷體"/>
                <w:b/>
                <w:sz w:val="22"/>
              </w:rPr>
              <w:t>Gemini 直接解影片・自選幀・N=10・胸高提示</w:t>
            </w:r>
          </w:p>
        </w:tc>
        <w:tc>
          <w:tcPr>
            <w:tcW w:type="dxa" w:w="1465"/>
          </w:tcPr>
          <w:p>
            <w:r>
              <w:rPr>
                <w:rFonts w:ascii="Times New Roman" w:hAnsi="Times New Roman" w:eastAsia="標楷體" w:cs="標楷體"/>
                <w:b/>
                <w:sz w:val="22"/>
              </w:rPr>
              <w:t>31</w:t>
            </w:r>
          </w:p>
        </w:tc>
        <w:tc>
          <w:tcPr>
            <w:tcW w:type="dxa" w:w="1465"/>
          </w:tcPr>
          <w:p>
            <w:r>
              <w:rPr>
                <w:rFonts w:ascii="Times New Roman" w:hAnsi="Times New Roman" w:eastAsia="標楷體" w:cs="標楷體"/>
                <w:b/>
                <w:sz w:val="22"/>
              </w:rPr>
              <w:t>15.6%</w:t>
            </w:r>
          </w:p>
        </w:tc>
        <w:tc>
          <w:tcPr>
            <w:tcW w:type="dxa" w:w="1465"/>
          </w:tcPr>
          <w:p>
            <w:r>
              <w:rPr>
                <w:rFonts w:ascii="Times New Roman" w:hAnsi="Times New Roman" w:eastAsia="標楷體" w:cs="標楷體"/>
                <w:b/>
                <w:sz w:val="22"/>
              </w:rPr>
              <w:t>23/31（74.2%）</w:t>
            </w:r>
          </w:p>
        </w:tc>
      </w:tr>
    </w:tbl>
    <w:p>
      <w:pPr>
        <w:pStyle w:val="Normal"/>
      </w:pPr>
      <w:r>
        <w:rPr>
          <w:rFonts w:ascii="Times New Roman" w:hAnsi="Times New Roman" w:eastAsia="標楷體" w:cs="標楷體"/>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Times New Roman" w:hAnsi="Times New Roman" w:eastAsia="標楷體" w:cs="標楷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sz w:val="22"/>
              </w:rPr>
              <w:t>指標</w:t>
            </w:r>
          </w:p>
        </w:tc>
        <w:tc>
          <w:tcPr>
            <w:tcW w:type="dxa" w:w="2929"/>
          </w:tcPr>
          <w:p>
            <w:r>
              <w:rPr>
                <w:rFonts w:ascii="Times New Roman" w:hAnsi="Times New Roman" w:eastAsia="標楷體" w:cs="標楷體"/>
                <w:sz w:val="22"/>
              </w:rPr>
              <w:t>計算特性</w:t>
            </w:r>
          </w:p>
        </w:tc>
        <w:tc>
          <w:tcPr>
            <w:tcW w:type="dxa" w:w="2929"/>
          </w:tcPr>
          <w:p>
            <w:r>
              <w:rPr>
                <w:rFonts w:ascii="Times New Roman" w:hAnsi="Times New Roman" w:eastAsia="標楷體" w:cs="標楷體"/>
                <w:sz w:val="22"/>
              </w:rPr>
              <w:t>使用脈絡</w:t>
            </w:r>
          </w:p>
        </w:tc>
      </w:tr>
      <w:tr>
        <w:tc>
          <w:tcPr>
            <w:tcW w:type="dxa" w:w="2929"/>
          </w:tcPr>
          <w:p>
            <w:r>
              <w:rPr>
                <w:rFonts w:ascii="Times New Roman" w:hAnsi="Times New Roman" w:eastAsia="標楷體" w:cs="標楷體"/>
                <w:sz w:val="22"/>
              </w:rPr>
              <w:t>MAE（cm）</w:t>
            </w:r>
          </w:p>
        </w:tc>
        <w:tc>
          <w:tcPr>
            <w:tcW w:type="dxa" w:w="2929"/>
          </w:tcPr>
          <w:p>
            <w:r>
              <w:rPr>
                <w:rFonts w:ascii="Times New Roman" w:hAnsi="Times New Roman" w:eastAsia="標楷體" w:cs="標楷體"/>
                <w:sz w:val="22"/>
              </w:rPr>
              <w:t>絕對誤差均值，單位與量測值相同，對極端值較不敏感</w:t>
            </w:r>
          </w:p>
        </w:tc>
        <w:tc>
          <w:tcPr>
            <w:tcW w:type="dxa" w:w="2929"/>
          </w:tcPr>
          <w:p>
            <w:r>
              <w:rPr>
                <w:rFonts w:ascii="Times New Roman" w:hAnsi="Times New Roman" w:eastAsia="標楷體" w:cs="標楷體"/>
                <w:sz w:val="22"/>
              </w:rPr>
              <w:t>對應影片 DBH 精度評估之主要直觀指標，MAE 數值即平均偏差公分數（例如 MAE = 2.3 cm 表示平均偏差約 2.3 公分）</w:t>
            </w:r>
          </w:p>
        </w:tc>
      </w:tr>
      <w:tr>
        <w:tc>
          <w:tcPr>
            <w:tcW w:type="dxa" w:w="2929"/>
          </w:tcPr>
          <w:p>
            <w:r>
              <w:rPr>
                <w:rFonts w:ascii="Times New Roman" w:hAnsi="Times New Roman" w:eastAsia="標楷體" w:cs="標楷體"/>
                <w:sz w:val="22"/>
              </w:rPr>
              <w:t>RMSE（cm）</w:t>
            </w:r>
          </w:p>
        </w:tc>
        <w:tc>
          <w:tcPr>
            <w:tcW w:type="dxa" w:w="2929"/>
          </w:tcPr>
          <w:p>
            <w:r>
              <w:rPr>
                <w:rFonts w:ascii="Times New Roman" w:hAnsi="Times New Roman" w:eastAsia="標楷體" w:cs="標楷體"/>
                <w:sz w:val="22"/>
              </w:rPr>
              <w:t>以平方項放大較大誤差，凸顯最差情況</w:t>
            </w:r>
          </w:p>
        </w:tc>
        <w:tc>
          <w:tcPr>
            <w:tcW w:type="dxa" w:w="2929"/>
          </w:tcPr>
          <w:p>
            <w:r>
              <w:rPr>
                <w:rFonts w:ascii="Times New Roman" w:hAnsi="Times New Roman" w:eastAsia="標楷體" w:cs="標楷體"/>
                <w:sz w:val="22"/>
              </w:rPr>
              <w:t>與 MAE 比較可推估誤差分布是否偏離常態</w:t>
            </w:r>
          </w:p>
        </w:tc>
      </w:tr>
      <w:tr>
        <w:tc>
          <w:tcPr>
            <w:tcW w:type="dxa" w:w="2929"/>
          </w:tcPr>
          <w:p>
            <w:r>
              <w:rPr>
                <w:rFonts w:ascii="Times New Roman" w:hAnsi="Times New Roman" w:eastAsia="標楷體" w:cs="標楷體"/>
                <w:sz w:val="22"/>
              </w:rPr>
              <w:t>MAPE（%）</w:t>
            </w:r>
          </w:p>
        </w:tc>
        <w:tc>
          <w:tcPr>
            <w:tcW w:type="dxa" w:w="2929"/>
          </w:tcPr>
          <w:p>
            <w:r>
              <w:rPr>
                <w:rFonts w:ascii="Times New Roman" w:hAnsi="Times New Roman" w:eastAsia="標楷體" w:cs="標楷體"/>
                <w:sz w:val="22"/>
              </w:rPr>
              <w:t>百分比誤差均值，不受量級影響</w:t>
            </w:r>
          </w:p>
        </w:tc>
        <w:tc>
          <w:tcPr>
            <w:tcW w:type="dxa" w:w="2929"/>
          </w:tcPr>
          <w:p>
            <w:r>
              <w:rPr>
                <w:rFonts w:ascii="Times New Roman" w:hAnsi="Times New Roman" w:eastAsia="標楷體" w:cs="標楷體"/>
                <w:sz w:val="22"/>
              </w:rPr>
              <w:t>與精度目標「MAPE ≤ 25%」直接對齊，跨樹徑量級可比</w:t>
            </w:r>
          </w:p>
        </w:tc>
      </w:tr>
      <w:tr>
        <w:tc>
          <w:tcPr>
            <w:tcW w:type="dxa" w:w="2929"/>
          </w:tcPr>
          <w:p>
            <w:r>
              <w:rPr>
                <w:rFonts w:ascii="Times New Roman" w:hAnsi="Times New Roman" w:eastAsia="標楷體" w:cs="標楷體"/>
                <w:sz w:val="22"/>
              </w:rPr>
              <w:t>R²</w:t>
            </w:r>
          </w:p>
        </w:tc>
        <w:tc>
          <w:tcPr>
            <w:tcW w:type="dxa" w:w="2929"/>
          </w:tcPr>
          <w:p>
            <w:r>
              <w:rPr>
                <w:rFonts w:ascii="Times New Roman" w:hAnsi="Times New Roman" w:eastAsia="標楷體" w:cs="標楷體"/>
                <w:sz w:val="22"/>
              </w:rPr>
              <w:t>決定係數（0–1），衡量回歸解釋力</w:t>
            </w:r>
          </w:p>
        </w:tc>
        <w:tc>
          <w:tcPr>
            <w:tcW w:type="dxa" w:w="2929"/>
          </w:tcPr>
          <w:p>
            <w:r>
              <w:rPr>
                <w:rFonts w:ascii="Times New Roman" w:hAnsi="Times New Roman" w:eastAsia="標楷體" w:cs="標楷體"/>
                <w:sz w:val="22"/>
              </w:rPr>
              <w:t>估算值對真實值之變異解釋力；參考指標 ≥ 0.80</w:t>
            </w:r>
          </w:p>
        </w:tc>
      </w:tr>
    </w:tbl>
    <w:p/>
    <w:p>
      <w:pPr>
        <w:pStyle w:val="Heading2"/>
      </w:pPr>
      <w:bookmarkStart w:id="42" w:name="_Toc10041"/>
      <w:r>
        <w:rPr>
          <w:rFonts w:ascii="Times New Roman" w:hAnsi="Times New Roman" w:eastAsia="標楷體" w:cs="標楷體"/>
          <w:b/>
          <w:sz w:val="24"/>
        </w:rPr>
        <w:t>4.2 影片 DBH 估算精度評估</w:t>
      </w:r>
      <w:bookmarkEnd w:id="42"/>
    </w:p>
    <w:p>
      <w:r>
        <w:rPr>
          <w:rFonts w:ascii="Times New Roman" w:hAnsi="Times New Roman" w:eastAsia="標楷體" w:cs="標楷體"/>
        </w:rP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Times New Roman" w:hAnsi="Times New Roman" w:eastAsia="標楷體" w:cs="標楷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Times New Roman" w:hAnsi="Times New Roman" w:eastAsia="標楷體" w:cs="標楷體"/>
          <w:sz w:val="24"/>
        </w:rPr>
        <w:t>表 4-2 彙整主要量化評估結果。Bootstrap 95% 信賴區間以 10,000 次重抽樣計算，於 31 棵有效樣本之條件下提供穩健之區間估計。</w:t>
      </w:r>
    </w:p>
    <w:p>
      <w:r>
        <w:rPr>
          <w:rFonts w:ascii="Times New Roman" w:hAnsi="Times New Roman" w:eastAsia="標楷體" w:cs="標楷體"/>
        </w:rP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rPr>
          <w:rFonts w:ascii="Times New Roman" w:hAnsi="Times New Roman" w:eastAsia="標楷體" w:cs="標楷體"/>
        </w:rP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Times New Roman" w:hAnsi="Times New Roman" w:eastAsia="標楷體" w:cs="標楷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sz w:val="22"/>
              </w:rPr>
              <w:t>評估指標</w:t>
            </w:r>
          </w:p>
        </w:tc>
        <w:tc>
          <w:tcPr>
            <w:tcW w:type="dxa" w:w="2929"/>
          </w:tcPr>
          <w:p>
            <w:r>
              <w:rPr>
                <w:rFonts w:ascii="Times New Roman" w:hAnsi="Times New Roman" w:eastAsia="標楷體" w:cs="標楷體"/>
                <w:sz w:val="22"/>
              </w:rPr>
              <w:t>點估計</w:t>
            </w:r>
          </w:p>
        </w:tc>
        <w:tc>
          <w:tcPr>
            <w:tcW w:type="dxa" w:w="2929"/>
          </w:tcPr>
          <w:p>
            <w:r>
              <w:rPr>
                <w:rFonts w:ascii="Times New Roman" w:hAnsi="Times New Roman" w:eastAsia="標楷體" w:cs="標楷體"/>
                <w:sz w:val="22"/>
              </w:rPr>
              <w:t>Bootstrap 95% 信賴區間</w:t>
            </w:r>
          </w:p>
        </w:tc>
      </w:tr>
      <w:tr>
        <w:tc>
          <w:tcPr>
            <w:tcW w:type="dxa" w:w="2929"/>
          </w:tcPr>
          <w:p>
            <w:r>
              <w:rPr>
                <w:rFonts w:ascii="Times New Roman" w:hAnsi="Times New Roman" w:eastAsia="標楷體" w:cs="標楷體"/>
                <w:sz w:val="22"/>
              </w:rPr>
              <w:t>MAE（cm）</w:t>
            </w:r>
          </w:p>
        </w:tc>
        <w:tc>
          <w:tcPr>
            <w:tcW w:type="dxa" w:w="2929"/>
          </w:tcPr>
          <w:p>
            <w:r>
              <w:rPr>
                <w:rFonts w:ascii="Times New Roman" w:hAnsi="Times New Roman" w:eastAsia="標楷體" w:cs="標楷體"/>
                <w:sz w:val="22"/>
              </w:rPr>
              <w:t>4.40</w:t>
            </w:r>
          </w:p>
        </w:tc>
        <w:tc>
          <w:tcPr>
            <w:tcW w:type="dxa" w:w="2929"/>
          </w:tcPr>
          <w:p>
            <w:r>
              <w:rPr>
                <w:rFonts w:ascii="Times New Roman" w:hAnsi="Times New Roman" w:eastAsia="標楷體" w:cs="標楷體"/>
                <w:sz w:val="22"/>
              </w:rPr>
              <w:t>[3.04, 5.92]</w:t>
            </w:r>
          </w:p>
        </w:tc>
      </w:tr>
      <w:tr>
        <w:tc>
          <w:tcPr>
            <w:tcW w:type="dxa" w:w="2929"/>
          </w:tcPr>
          <w:p>
            <w:r>
              <w:rPr>
                <w:rFonts w:ascii="Times New Roman" w:hAnsi="Times New Roman" w:eastAsia="標楷體" w:cs="標楷體"/>
                <w:sz w:val="22"/>
              </w:rPr>
              <w:t>MAPE（%）</w:t>
            </w:r>
          </w:p>
        </w:tc>
        <w:tc>
          <w:tcPr>
            <w:tcW w:type="dxa" w:w="2929"/>
          </w:tcPr>
          <w:p>
            <w:r>
              <w:rPr>
                <w:rFonts w:ascii="Times New Roman" w:hAnsi="Times New Roman" w:eastAsia="標楷體" w:cs="標楷體"/>
                <w:sz w:val="22"/>
              </w:rPr>
              <w:t>15.6%</w:t>
            </w:r>
          </w:p>
        </w:tc>
        <w:tc>
          <w:tcPr>
            <w:tcW w:type="dxa" w:w="2929"/>
          </w:tcPr>
          <w:p>
            <w:r>
              <w:rPr>
                <w:rFonts w:ascii="Times New Roman" w:hAnsi="Times New Roman" w:eastAsia="標楷體" w:cs="標楷體"/>
                <w:sz w:val="22"/>
              </w:rPr>
              <w:t>[11.0%, 20.7%]</w:t>
            </w:r>
          </w:p>
        </w:tc>
      </w:tr>
      <w:tr>
        <w:tc>
          <w:tcPr>
            <w:tcW w:type="dxa" w:w="2929"/>
          </w:tcPr>
          <w:p>
            <w:r>
              <w:rPr>
                <w:rFonts w:ascii="Times New Roman" w:hAnsi="Times New Roman" w:eastAsia="標楷體" w:cs="標楷體"/>
                <w:sz w:val="22"/>
              </w:rPr>
              <w:t>RMSE（cm）</w:t>
            </w:r>
          </w:p>
        </w:tc>
        <w:tc>
          <w:tcPr>
            <w:tcW w:type="dxa" w:w="2929"/>
          </w:tcPr>
          <w:p>
            <w:r>
              <w:rPr>
                <w:rFonts w:ascii="Times New Roman" w:hAnsi="Times New Roman" w:eastAsia="標楷體" w:cs="標楷體"/>
                <w:sz w:val="22"/>
              </w:rPr>
              <w:t>6.02</w:t>
            </w:r>
          </w:p>
        </w:tc>
        <w:tc>
          <w:tcPr>
            <w:tcW w:type="dxa" w:w="2929"/>
          </w:tcPr>
          <w:p>
            <w:r>
              <w:rPr>
                <w:rFonts w:ascii="Times New Roman" w:hAnsi="Times New Roman" w:eastAsia="標楷體" w:cs="標楷體"/>
                <w:sz w:val="22"/>
              </w:rPr>
              <w:t>—</w:t>
            </w:r>
          </w:p>
        </w:tc>
      </w:tr>
      <w:tr>
        <w:tc>
          <w:tcPr>
            <w:tcW w:type="dxa" w:w="2929"/>
          </w:tcPr>
          <w:p>
            <w:r>
              <w:rPr>
                <w:rFonts w:ascii="Times New Roman" w:hAnsi="Times New Roman" w:eastAsia="標楷體" w:cs="標楷體"/>
                <w:sz w:val="22"/>
              </w:rPr>
              <w:t>R²</w:t>
            </w:r>
          </w:p>
        </w:tc>
        <w:tc>
          <w:tcPr>
            <w:tcW w:type="dxa" w:w="2929"/>
          </w:tcPr>
          <w:p>
            <w:r>
              <w:rPr>
                <w:rFonts w:ascii="Times New Roman" w:hAnsi="Times New Roman" w:eastAsia="標楷體" w:cs="標楷體"/>
                <w:sz w:val="22"/>
              </w:rPr>
              <w:t>0.37</w:t>
            </w:r>
          </w:p>
        </w:tc>
        <w:tc>
          <w:tcPr>
            <w:tcW w:type="dxa" w:w="2929"/>
          </w:tcPr>
          <w:p>
            <w:r>
              <w:rPr>
                <w:rFonts w:ascii="Times New Roman" w:hAnsi="Times New Roman" w:eastAsia="標楷體" w:cs="標楷體"/>
                <w:sz w:val="22"/>
              </w:rPr>
              <w:t>—</w:t>
            </w:r>
          </w:p>
        </w:tc>
      </w:tr>
      <w:tr>
        <w:tc>
          <w:tcPr>
            <w:tcW w:type="dxa" w:w="2929"/>
          </w:tcPr>
          <w:p>
            <w:r>
              <w:rPr>
                <w:rFonts w:ascii="Times New Roman" w:hAnsi="Times New Roman" w:eastAsia="標楷體" w:cs="標楷體"/>
                <w:sz w:val="22"/>
              </w:rPr>
              <w:t>判定門檻</w:t>
            </w:r>
          </w:p>
        </w:tc>
        <w:tc>
          <w:tcPr>
            <w:tcW w:type="dxa" w:w="2929"/>
          </w:tcPr>
          <w:p>
            <w:r>
              <w:rPr>
                <w:rFonts w:ascii="Times New Roman" w:hAnsi="Times New Roman" w:eastAsia="標楷體" w:cs="標楷體"/>
                <w:sz w:val="22"/>
              </w:rPr>
              <w:t>8/31（25.8%）</w:t>
            </w:r>
          </w:p>
        </w:tc>
        <w:tc>
          <w:tcPr>
            <w:tcW w:type="dxa" w:w="2929"/>
          </w:tcPr>
          <w:p>
            <w:r>
              <w:rPr>
                <w:rFonts w:ascii="Times New Roman" w:hAnsi="Times New Roman" w:eastAsia="標楷體" w:cs="標楷體"/>
                <w:sz w:val="22"/>
              </w:rPr>
              <w:t>—</w:t>
            </w:r>
          </w:p>
        </w:tc>
      </w:tr>
      <w:tr>
        <w:tc>
          <w:tcPr>
            <w:tcW w:type="dxa" w:w="2929"/>
          </w:tcPr>
          <w:p>
            <w:r>
              <w:rPr>
                <w:rFonts w:ascii="Times New Roman" w:hAnsi="Times New Roman" w:eastAsia="標楷體" w:cs="標楷體"/>
                <w:sz w:val="22"/>
              </w:rPr>
              <w:t>是否達成精度目標（MAPE ≤ 25%）</w:t>
            </w:r>
          </w:p>
        </w:tc>
        <w:tc>
          <w:tcPr>
            <w:tcW w:type="dxa" w:w="2929"/>
          </w:tcPr>
          <w:p>
            <w:r>
              <w:rPr>
                <w:rFonts w:ascii="Times New Roman" w:hAnsi="Times New Roman" w:eastAsia="標楷體" w:cs="標楷體"/>
                <w:sz w:val="22"/>
              </w:rPr>
              <w:t>6.3%（目標 ≤ 8.0%，通過）</w:t>
            </w:r>
          </w:p>
        </w:tc>
        <w:tc>
          <w:tcPr>
            <w:tcW w:type="dxa" w:w="2929"/>
          </w:tcPr>
          <w:p>
            <w:r>
              <w:rPr>
                <w:rFonts w:ascii="Times New Roman" w:hAnsi="Times New Roman" w:eastAsia="標楷體" w:cs="標楷體"/>
                <w:sz w:val="22"/>
              </w:rPr>
              <w:t>Verra VM0047 90% CI</w:t>
            </w:r>
          </w:p>
        </w:tc>
      </w:tr>
    </w:tbl>
    <w:p/>
    <w:p>
      <w:pPr>
        <w:jc w:val="center"/>
      </w:pPr>
      <w:r>
        <w:rPr>
          <w:rFonts w:ascii="Times New Roman" w:hAnsi="Times New Roman" w:eastAsia="標楷體" w:cs="標楷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序號</w:t>
            </w:r>
          </w:p>
        </w:tc>
        <w:tc>
          <w:tcPr>
            <w:tcW w:type="dxa" w:w="1247"/>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影片</w:t>
            </w:r>
          </w:p>
        </w:tc>
        <w:tc>
          <w:tcPr>
            <w:tcW w:type="dxa" w:w="1361"/>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Tree ID</w:t>
            </w:r>
          </w:p>
        </w:tc>
        <w:tc>
          <w:tcPr>
            <w:tcW w:type="dxa" w:w="850"/>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皮尺周長</w:t>
              <w:br/>
              <w:t>(cm)</w:t>
            </w:r>
          </w:p>
        </w:tc>
        <w:tc>
          <w:tcPr>
            <w:tcW w:type="dxa" w:w="850"/>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皮尺 DBH</w:t>
              <w:br/>
              <w:t>(cm)</w:t>
            </w:r>
          </w:p>
        </w:tc>
        <w:tc>
          <w:tcPr>
            <w:tcW w:type="dxa" w:w="850"/>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AI DBH</w:t>
              <w:br/>
              <w:t>(cm)</w:t>
            </w:r>
          </w:p>
        </w:tc>
        <w:tc>
          <w:tcPr>
            <w:tcW w:type="dxa" w:w="737"/>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APE</w:t>
              <w:br/>
              <w:t>(%)</w:t>
            </w:r>
          </w:p>
        </w:tc>
        <w:tc>
          <w:tcPr>
            <w:tcW w:type="dxa" w:w="680"/>
            <w:shd w:val="clear" w:color="auto" w:fill="2E7D32"/>
          </w:tcPr>
          <w:p>
            <w:pPr>
              <w:jc w:val="center"/>
            </w:pPr>
            <w:r>
              <w:rPr>
                <w:rFonts w:ascii="Times New Roman" w:hAnsi="Times New Roman" w:eastAsia="標楷體" w:cs="標楷體"/>
                <w:color w:val="FFFFFF"/>
              </w:rPr>
            </w:r>
            <w:r>
              <w:rPr>
                <w:rFonts w:ascii="Times New Roman" w:hAnsi="Times New Roman" w:eastAsia="標楷體" w:cs="標楷體"/>
                <w:b/>
                <w:color w:val="FFFFFF"/>
                <w:sz w:val="16"/>
              </w:rPr>
              <w:t>通過</w:t>
              <w:br/>
              <w:t>≤25%</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IMG_5786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f664da0b</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71.0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22.60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29.6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31.0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IMG_5787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f658c6b4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85.5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27.20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29.5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IMG_5788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c60b9310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87.0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27.70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28.3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IMG_5789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b91f7a8f</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82.6</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26.30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26.1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0.8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IMG_5790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bb290e67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60.9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19.40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20.7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6.7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6</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IMG_5791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d8877cf7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94.9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30.20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22.8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24.5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IMG_5792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ef71202a</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90.0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28.60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25.5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10.8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IMG_5793</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39a452d7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106.0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33.70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30.7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IMG_5794</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3e82c4bb</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98.0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31.20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30.8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IMG_5795</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a50469c3</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69.0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22.00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27.8</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26.4</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11</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IMG_5798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2f3d72e9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132.0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42.00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41.5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IMG_5799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e6dc1550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137.0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43.60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34.7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20.4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13</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IMG_5800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3ceed1ae</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55.0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17.50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25.9</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48.0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IMG_5801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8bd512bb</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53.1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16.90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20.1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18.9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IMG_5802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fcaf65a9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138.0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43.90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43.8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0.2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IMG_5803</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c779b85a</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135.1</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43.00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24.7</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42.6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IMG_5804</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f5d4607c</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80.0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25.46</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25.5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0.2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IMG_5805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22a8c2f7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112.2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35.70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43.0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20.4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IMG_5806</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95bcc157</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121.9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38.80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31.5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18.8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IMG_5807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69bed0cb</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99.0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31.50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35.1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11.4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21</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IMG_5808</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4351f203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100.0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31.80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33.4</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5.0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IMG_5809</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9df54055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96.0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30.60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25.7</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IMG_5810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1517033e</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94.0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29.90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30.0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0.3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24</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IMG_5811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200e24be</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96.1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30.60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30.5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0.3</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25</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IMG_5812</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c30557df</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97.0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30.90</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30.3</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1.9</w:t>
            </w:r>
          </w:p>
        </w:tc>
        <w:tc>
          <w:tcPr>
            <w:tcW w:type="dxa" w:w="1098"/>
            <w:shd w:val="clear" w:color="auto" w:fill="F1F8E9"/>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26</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IMG_5813</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760643aa</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82.0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26.10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29.8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14.2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27</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IMG_5814</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b07b4d32</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121.0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38.50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28.7</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25.5</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28</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IMG_5815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f64e6422</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102.0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32.50</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29.1</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10.5</w:t>
            </w:r>
          </w:p>
        </w:tc>
        <w:tc>
          <w:tcPr>
            <w:tcW w:type="dxa" w:w="1098"/>
            <w:shd w:val="clear" w:color="auto" w:fill="FFFFFF"/>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29</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IMG_5817</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0449489a</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77.0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24.50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42.9</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IMG_5818</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7cf542e6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55.0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17.50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22.6</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29.1</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31</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IMG_5819</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d0068e2d</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67.9</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21.60</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29.4</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36.1</w:t>
            </w:r>
          </w:p>
        </w:tc>
        <w:tc>
          <w:tcPr>
            <w:tcW w:type="dxa" w:w="1098"/>
            <w:shd w:val="clear" w:color="auto" w:fill="FFCDD2"/>
          </w:tcPr>
          <w:p>
            <w:pPr>
              <w:jc w:val="center"/>
            </w:pPr>
            <w:r>
              <w:rPr>
                <w:rFonts w:ascii="Times New Roman" w:hAnsi="Times New Roman" w:eastAsia="標楷體" w:cs="標楷體"/>
              </w:rPr>
            </w:r>
            <w:r>
              <w:rPr>
                <w:rFonts w:ascii="Times New Roman" w:hAnsi="Times New Roman" w:eastAsia="標楷體" w:cs="標楷體"/>
                <w:b w:val="0"/>
                <w:sz w:val="16"/>
              </w:rPr>
              <w:t>❌</w:t>
            </w:r>
          </w:p>
        </w:tc>
      </w:tr>
      <w:tr>
        <w:tc>
          <w:tcPr>
            <w:tcW w:type="dxa" w:w="6588"/>
            <w:gridSpan w:val="6"/>
            <w:shd w:val="clear" w:color="auto" w:fill="E8F5E9"/>
          </w:tcPr>
          <w:p>
            <w:pPr>
              <w:jc w:val="center"/>
            </w:pPr>
            <w:r>
              <w:rPr>
                <w:rFonts w:ascii="Times New Roman" w:hAnsi="Times New Roman" w:eastAsia="標楷體" w:cs="標楷體"/>
              </w:rPr>
            </w:r>
            <w:r>
              <w:rPr>
                <w:rFonts w:ascii="Times New Roman" w:hAnsi="Times New Roman" w:eastAsia="標楷體" w:cs="標楷體"/>
                <w:b/>
                <w:sz w:val="16"/>
              </w:rPr>
              <w:t>整體摘要（n=31）　MAPE = 15.6%　通過率 = 23/31（74.2%）</w:t>
            </w:r>
          </w:p>
        </w:tc>
        <w:tc>
          <w:tcPr>
            <w:tcW w:type="dxa" w:w="1098"/>
            <w:shd w:val="clear" w:color="auto" w:fill="E8F5E9"/>
          </w:tcPr>
          <w:p>
            <w:pPr>
              <w:jc w:val="center"/>
            </w:pPr>
            <w:r>
              <w:rPr>
                <w:rFonts w:ascii="Times New Roman" w:hAnsi="Times New Roman" w:eastAsia="標楷體" w:cs="標楷體"/>
              </w:rPr>
            </w:r>
            <w:r>
              <w:rPr>
                <w:rFonts w:ascii="Times New Roman" w:hAnsi="Times New Roman" w:eastAsia="標楷體" w:cs="標楷體"/>
                <w:b w:val="0"/>
                <w:sz w:val="16"/>
              </w:rPr>
            </w:r>
          </w:p>
        </w:tc>
        <w:tc>
          <w:tcPr>
            <w:tcW w:type="dxa" w:w="1098"/>
            <w:shd w:val="clear" w:color="auto" w:fill="E8F5E9"/>
          </w:tcPr>
          <w:p>
            <w:pPr>
              <w:jc w:val="center"/>
            </w:pPr>
            <w:r>
              <w:rPr>
                <w:rFonts w:ascii="Times New Roman" w:hAnsi="Times New Roman" w:eastAsia="標楷體" w:cs="標楷體"/>
              </w:rPr>
            </w:r>
            <w:r>
              <w:rPr>
                <w:rFonts w:ascii="Times New Roman" w:hAnsi="Times New Roman" w:eastAsia="標楷體" w:cs="標楷體"/>
                <w:b/>
                <w:sz w:val="16"/>
              </w:rPr>
              <w:t>23/31</w:t>
            </w:r>
          </w:p>
        </w:tc>
      </w:tr>
    </w:tbl>
    <w:p>
      <w:r>
        <w:rPr>
          <w:rFonts w:ascii="Times New Roman" w:hAnsi="Times New Roman" w:eastAsia="標楷體" w:cs="標楷體"/>
          <w:color w:val="666666"/>
          <w:sz w:val="20"/>
        </w:rPr>
        <w:t xml:space="preserve">註：AI DBH 為 Pipeline 4 v2（P4）校準後 DBH 值（calibratedDbhCm），以 rawDbhCm × CF 計算，動態 CF 為當期加權移動平均修正因子，靜態 CF ≡ 1.0 即無額外靜態校準。</w:t>
      </w:r>
    </w:p>
    <w:p/>
    <w:p>
      <w:r>
        <w:rPr>
          <w:rFonts w:ascii="Times New Roman" w:hAnsi="Times New Roman" w:eastAsia="標楷體" w:cs="標楷體"/>
          <w:color w:val="666666"/>
          <w:sz w:val="20"/>
        </w:rPr>
        <w:t>註：各指標之計算特性與使用脈絡之完整說明參見表 4-1a。</w:t>
      </w:r>
      <w:r>
        <w:rPr>
          <w:rFonts w:ascii="Times New Roman" w:hAnsi="Times New Roman" w:eastAsia="標楷體" w:cs="標楷體"/>
          <w:color w:val="666666"/>
          <w:sz w:val="20"/>
        </w:rPr>
        <w:t xml:space="preserve">各樣本逐棵對照數據詳見表 4-3。</w:t>
      </w:r>
    </w:p>
    <w:p/>
    <w:p>
      <w:pPr>
        <w:spacing w:after="120"/>
        <w:ind w:firstLine="480"/>
      </w:pPr>
      <w:r>
        <w:rPr>
          <w:rFonts w:ascii="Times New Roman" w:hAnsi="Times New Roman" w:eastAsia="標楷體" w:cs="標楷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bookmarkStart w:id="43" w:name="_Toc10042"/>
      <w:r>
        <w:rPr>
          <w:rFonts w:ascii="Times New Roman" w:hAnsi="Times New Roman" w:eastAsia="標楷體" w:cs="標楷體"/>
          <w:b/>
          <w:sz w:val="24"/>
        </w:rPr>
        <w:t>4.3 修正因子自演進評估</w:t>
      </w:r>
      <w:bookmarkEnd w:id="43"/>
    </w:p>
    <w:p>
      <w:pPr>
        <w:spacing w:after="120"/>
        <w:ind w:firstLine="480"/>
      </w:pPr>
      <w:r>
        <w:rPr>
          <w:rFonts w:ascii="Times New Roman" w:hAnsi="Times New Roman" w:eastAsia="標楷體" w:cs="標楷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Times New Roman" w:hAnsi="Times New Roman" w:eastAsia="標楷體" w:cs="標楷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Times New Roman" w:hAnsi="Times New Roman" w:eastAsia="標楷體" w:cs="標楷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Times New Roman" w:hAnsi="Times New Roman" w:eastAsia="標楷體" w:cs="標楷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Times New Roman" w:hAnsi="Times New Roman" w:eastAsia="標楷體" w:cs="標楷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Times New Roman" w:hAnsi="Times New Roman" w:eastAsia="標楷體" w:cs="標楷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Times New Roman" w:hAnsi="Times New Roman" w:eastAsia="標楷體" w:cs="標楷體"/>
                <w:sz w:val="22"/>
              </w:rPr>
              <w:t>指標</w:t>
            </w:r>
          </w:p>
        </w:tc>
        <w:tc>
          <w:tcPr>
            <w:tcW w:type="dxa" w:w="2929"/>
          </w:tcPr>
          <w:p>
            <w:r>
              <w:rPr>
                <w:rFonts w:ascii="Times New Roman" w:hAnsi="Times New Roman" w:eastAsia="標楷體" w:cs="標楷體"/>
                <w:sz w:val="22"/>
              </w:rPr>
              <w:t>對照組（CF ≡ 1.0）</w:t>
            </w:r>
          </w:p>
        </w:tc>
        <w:tc>
          <w:tcPr>
            <w:tcW w:type="dxa" w:w="2929"/>
          </w:tcPr>
          <w:p>
            <w:r>
              <w:rPr>
                <w:rFonts w:ascii="Times New Roman" w:hAnsi="Times New Roman" w:eastAsia="標楷體" w:cs="標楷體"/>
                <w:sz w:val="22"/>
              </w:rPr>
              <w:t>實驗組（自演進 CF）</w:t>
            </w:r>
          </w:p>
        </w:tc>
      </w:tr>
      <w:tr>
        <w:tc>
          <w:tcPr>
            <w:tcW w:type="dxa" w:w="2929"/>
          </w:tcPr>
          <w:p>
            <w:r>
              <w:rPr>
                <w:rFonts w:ascii="Times New Roman" w:hAnsi="Times New Roman" w:eastAsia="標楷體" w:cs="標楷體"/>
                <w:sz w:val="22"/>
              </w:rPr>
              <w:t>系統性偏差均值（cm）</w:t>
            </w:r>
          </w:p>
        </w:tc>
        <w:tc>
          <w:tcPr>
            <w:tcW w:type="dxa" w:w="2929"/>
          </w:tcPr>
          <w:p>
            <w:r>
              <w:rPr>
                <w:rFonts w:ascii="Times New Roman" w:hAnsi="Times New Roman" w:eastAsia="標楷體" w:cs="標楷體"/>
                <w:sz w:val="22"/>
              </w:rPr>
              <w:t>-1.03</w:t>
            </w:r>
          </w:p>
        </w:tc>
        <w:tc>
          <w:tcPr>
            <w:tcW w:type="dxa" w:w="2929"/>
          </w:tcPr>
          <w:p>
            <w:r>
              <w:rPr>
                <w:rFonts w:ascii="Times New Roman" w:hAnsi="Times New Roman" w:eastAsia="標楷體" w:cs="標楷體"/>
                <w:sz w:val="22"/>
              </w:rPr>
              <w:t>+1.91</w:t>
            </w:r>
          </w:p>
        </w:tc>
      </w:tr>
      <w:tr>
        <w:tc>
          <w:tcPr>
            <w:tcW w:type="dxa" w:w="2929"/>
          </w:tcPr>
          <w:p>
            <w:r>
              <w:rPr>
                <w:rFonts w:ascii="Times New Roman" w:hAnsi="Times New Roman" w:eastAsia="標楷體" w:cs="標楷體"/>
                <w:sz w:val="22"/>
              </w:rPr>
              <w:t>偏差標準差（cm）</w:t>
            </w:r>
          </w:p>
        </w:tc>
        <w:tc>
          <w:tcPr>
            <w:tcW w:type="dxa" w:w="2929"/>
          </w:tcPr>
          <w:p>
            <w:r>
              <w:rPr>
                <w:rFonts w:ascii="Times New Roman" w:hAnsi="Times New Roman" w:eastAsia="標楷體" w:cs="標楷體"/>
                <w:sz w:val="22"/>
              </w:rPr>
              <w:t>7.70</w:t>
            </w:r>
          </w:p>
        </w:tc>
        <w:tc>
          <w:tcPr>
            <w:tcW w:type="dxa" w:w="2929"/>
          </w:tcPr>
          <w:p>
            <w:r>
              <w:rPr>
                <w:rFonts w:ascii="Times New Roman" w:hAnsi="Times New Roman" w:eastAsia="標楷體" w:cs="標楷體"/>
                <w:sz w:val="22"/>
              </w:rPr>
              <w:t>8.35</w:t>
            </w:r>
          </w:p>
        </w:tc>
      </w:tr>
      <w:tr>
        <w:tc>
          <w:tcPr>
            <w:tcW w:type="dxa" w:w="2929"/>
          </w:tcPr>
          <w:p>
            <w:r>
              <w:rPr>
                <w:rFonts w:ascii="Times New Roman" w:hAnsi="Times New Roman" w:eastAsia="標楷體" w:cs="標楷體"/>
                <w:sz w:val="22"/>
              </w:rPr>
              <w:t>MAE 改善率（%）（MAE 即平均絕對誤差，已於 4.1 與表 4-1a 定義）</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-12.1%</w:t>
            </w:r>
          </w:p>
        </w:tc>
      </w:tr>
      <w:tr>
        <w:tc>
          <w:tcPr>
            <w:tcW w:type="dxa" w:w="2929"/>
          </w:tcPr>
          <w:p>
            <w:r>
              <w:rPr>
                <w:rFonts w:ascii="Times New Roman" w:hAnsi="Times New Roman" w:eastAsia="標楷體" w:cs="標楷體"/>
                <w:sz w:val="22"/>
              </w:rPr>
              <w:t>快照觸發次數</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詳見 4.3.1 節 CF 演進折線圖</w:t>
            </w:r>
          </w:p>
        </w:tc>
      </w:tr>
      <w:tr>
        <w:tc>
          <w:tcPr>
            <w:tcW w:type="dxa" w:w="2929"/>
          </w:tcPr>
          <w:p>
            <w:r>
              <w:rPr>
                <w:rFonts w:ascii="Times New Roman" w:hAnsi="Times New Roman" w:eastAsia="標楷體" w:cs="標楷體"/>
                <w:sz w:val="22"/>
              </w:rPr>
              <w:t>LMM 統計檢定（CF 套用狀態為固定效應、樹種為隨機效應）</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w:t>
            </w:r>
          </w:p>
        </w:tc>
      </w:tr>
      <w:tr>
        <w:tc>
          <w:tcPr>
            <w:tcW w:type="dxa" w:w="2929"/>
          </w:tcPr>
          <w:p>
            <w:r>
              <w:rPr>
                <w:rFonts w:ascii="Times New Roman" w:hAnsi="Times New Roman" w:eastAsia="標楷體" w:cs="標楷體"/>
                <w:sz w:val="22"/>
              </w:rPr>
              <w:t xml:space="preserve">　β₁（CF 套用之固定效應係數，cm）</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+2.91</w:t>
            </w:r>
          </w:p>
        </w:tc>
      </w:tr>
      <w:tr>
        <w:tc>
          <w:tcPr>
            <w:tcW w:type="dxa" w:w="2929"/>
          </w:tcPr>
          <w:p>
            <w:r>
              <w:rPr>
                <w:rFonts w:ascii="Times New Roman" w:hAnsi="Times New Roman" w:eastAsia="標楷體" w:cs="標楷體"/>
                <w:sz w:val="22"/>
              </w:rPr>
              <w:t xml:space="preserve">　β₁ 之 95% 信賴區間</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[+0.92, +4.89]</w:t>
            </w:r>
          </w:p>
        </w:tc>
      </w:tr>
      <w:tr>
        <w:tc>
          <w:tcPr>
            <w:tcW w:type="dxa" w:w="2929"/>
          </w:tcPr>
          <w:p>
            <w:r>
              <w:rPr>
                <w:rFonts w:ascii="Times New Roman" w:hAnsi="Times New Roman" w:eastAsia="標楷體" w:cs="標楷體"/>
                <w:sz w:val="22"/>
              </w:rPr>
              <w:t xml:space="preserve">　β₁ 對應 p 值（Satterthwaite 近似）</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0.0042（顯著，施加 CF 後偏差顯著增加）</w:t>
            </w:r>
          </w:p>
        </w:tc>
      </w:tr>
      <w:tr>
        <w:tc>
          <w:tcPr>
            <w:tcW w:type="dxa" w:w="2929"/>
          </w:tcPr>
          <w:p>
            <w:r>
              <w:rPr>
                <w:rFonts w:ascii="Times New Roman" w:hAnsi="Times New Roman" w:eastAsia="標楷體" w:cs="標楷體"/>
                <w:sz w:val="22"/>
              </w:rPr>
              <w:t xml:space="preserve">　ICC（組內相關係數，樹種層級變異占比）</w:t>
            </w:r>
          </w:p>
        </w:tc>
        <w:tc>
          <w:tcPr>
            <w:tcW w:type="dxa" w:w="2929"/>
          </w:tcPr>
          <w:p>
            <w:r>
              <w:rPr>
                <w:rFonts w:ascii="Times New Roman" w:hAnsi="Times New Roman" w:eastAsia="標楷體" w:cs="標楷體"/>
                <w:sz w:val="22"/>
              </w:rPr>
              <w:t>—</w:t>
            </w:r>
          </w:p>
        </w:tc>
        <w:tc>
          <w:tcPr>
            <w:tcW w:type="dxa" w:w="2929"/>
          </w:tcPr>
          <w:p>
            <w:r>
              <w:rPr>
                <w:rFonts w:ascii="Times New Roman" w:hAnsi="Times New Roman" w:eastAsia="標楷體" w:cs="標楷體"/>
                <w:sz w:val="22"/>
              </w:rPr>
              <w:t>0.000（樹種無殘留系統性偏差）</w:t>
            </w:r>
          </w:p>
        </w:tc>
      </w:tr>
    </w:tbl>
    <w:p>
      <w:r>
        <w:rPr>
          <w:rFonts w:ascii="Times New Roman" w:hAnsi="Times New Roman" w:eastAsia="標楷體" w:cs="標楷體"/>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Times New Roman" w:hAnsi="Times New Roman" w:eastAsia="標楷體" w:cs="標楷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Times New Roman" w:hAnsi="Times New Roman" w:eastAsia="標楷體" w:cs="標楷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bookmarkStart w:id="44" w:name="_Toc10043"/>
      <w:r>
        <w:rPr>
          <w:rFonts w:ascii="Times New Roman" w:hAnsi="Times New Roman" w:eastAsia="標楷體" w:cs="標楷體"/>
          <w:b/>
          <w:sz w:val="24"/>
        </w:rPr>
        <w:t>4.4 區塊鏈完整性評估</w:t>
      </w:r>
      <w:bookmarkEnd w:id="44"/>
    </w:p>
    <w:p>
      <w:pPr>
        <w:spacing w:after="120"/>
        <w:ind w:firstLine="480"/>
      </w:pPr>
      <w:r>
        <w:rPr>
          <w:rFonts w:ascii="Times New Roman" w:hAnsi="Times New Roman" w:eastAsia="標楷體" w:cs="標楷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Times New Roman" w:hAnsi="Times New Roman" w:eastAsia="標楷體" w:cs="標楷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Times New Roman" w:hAnsi="Times New Roman" w:eastAsia="標楷體" w:cs="標楷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eastAsia="標楷體" w:cs="標楷體"/>
                <w:sz w:val="22"/>
              </w:rPr>
              <w:t>評估指標</w:t>
            </w:r>
          </w:p>
        </w:tc>
        <w:tc>
          <w:tcPr>
            <w:tcW w:type="dxa" w:w="4394"/>
          </w:tcPr>
          <w:p>
            <w:r>
              <w:rPr>
                <w:rFonts w:ascii="Times New Roman" w:hAnsi="Times New Roman" w:eastAsia="標楷體" w:cs="標楷體"/>
                <w:sz w:val="22"/>
              </w:rPr>
              <w:t>結果</w:t>
            </w:r>
          </w:p>
        </w:tc>
      </w:tr>
      <w:tr>
        <w:tc>
          <w:tcPr>
            <w:tcW w:type="dxa" w:w="4394"/>
          </w:tcPr>
          <w:p>
            <w:r>
              <w:rPr>
                <w:rFonts w:ascii="Times New Roman" w:hAnsi="Times New Roman" w:eastAsia="標楷體" w:cs="標楷體"/>
                <w:sz w:val="22"/>
              </w:rPr>
              <w:t>總量測筆數</w:t>
            </w:r>
          </w:p>
        </w:tc>
        <w:tc>
          <w:tcPr>
            <w:tcW w:type="dxa" w:w="4394"/>
          </w:tcPr>
          <w:p>
            <w:r>
              <w:rPr>
                <w:rFonts w:ascii="Times New Roman" w:hAnsi="Times New Roman" w:eastAsia="標楷體" w:cs="標楷體"/>
                <w:sz w:val="22"/>
              </w:rPr>
              <w:t>32</w:t>
            </w:r>
          </w:p>
        </w:tc>
      </w:tr>
      <w:tr>
        <w:tc>
          <w:tcPr>
            <w:tcW w:type="dxa" w:w="4394"/>
          </w:tcPr>
          <w:p>
            <w:r>
              <w:rPr>
                <w:rFonts w:ascii="Times New Roman" w:hAnsi="Times New Roman" w:eastAsia="標楷體" w:cs="標楷體"/>
                <w:sz w:val="22"/>
              </w:rPr>
              <w:t>成功上鏈筆數</w:t>
            </w:r>
          </w:p>
        </w:tc>
        <w:tc>
          <w:tcPr>
            <w:tcW w:type="dxa" w:w="4394"/>
          </w:tcPr>
          <w:p>
            <w:r>
              <w:rPr>
                <w:rFonts w:ascii="Times New Roman" w:hAnsi="Times New Roman" w:eastAsia="標楷體" w:cs="標楷體"/>
                <w:sz w:val="22"/>
              </w:rPr>
              <w:t>32</w:t>
            </w:r>
          </w:p>
        </w:tc>
      </w:tr>
      <w:tr>
        <w:tc>
          <w:tcPr>
            <w:tcW w:type="dxa" w:w="4394"/>
          </w:tcPr>
          <w:p>
            <w:r>
              <w:rPr>
                <w:rFonts w:ascii="Times New Roman" w:hAnsi="Times New Roman" w:eastAsia="標楷體" w:cs="標楷體"/>
                <w:sz w:val="22"/>
              </w:rPr>
              <w:t>上鏈成功率（%）；判定門檻 ≥ 95%</w:t>
            </w:r>
          </w:p>
        </w:tc>
        <w:tc>
          <w:tcPr>
            <w:tcW w:type="dxa" w:w="4394"/>
          </w:tcPr>
          <w:p>
            <w:r>
              <w:rPr>
                <w:rFonts w:ascii="Times New Roman" w:hAnsi="Times New Roman" w:eastAsia="標楷體" w:cs="標楷體"/>
                <w:sz w:val="22"/>
              </w:rPr>
              <w:t>100%（32/32，超過 ≥ 95% 門檻）</w:t>
            </w:r>
          </w:p>
        </w:tc>
      </w:tr>
      <w:tr>
        <w:tc>
          <w:tcPr>
            <w:tcW w:type="dxa" w:w="4394"/>
          </w:tcPr>
          <w:p>
            <w:r>
              <w:rPr>
                <w:rFonts w:ascii="Times New Roman" w:hAnsi="Times New Roman" w:eastAsia="標楷體" w:cs="標楷體"/>
                <w:sz w:val="22"/>
              </w:rPr>
              <w:t>鏈上-資料庫一致性比率（%）；判定門檻 100%</w:t>
            </w:r>
          </w:p>
        </w:tc>
        <w:tc>
          <w:tcPr>
            <w:tcW w:type="dxa" w:w="4394"/>
          </w:tcPr>
          <w:p>
            <w:r>
              <w:rPr>
                <w:rFonts w:ascii="Times New Roman" w:hAnsi="Times New Roman" w:eastAsia="標楷體" w:cs="標楷體"/>
                <w:sz w:val="22"/>
              </w:rPr>
              <w:t>100%（32/32，達到 100% 門檻）</w:t>
            </w:r>
          </w:p>
        </w:tc>
      </w:tr>
      <w:tr>
        <w:tc>
          <w:tcPr>
            <w:tcW w:type="dxa" w:w="4394"/>
          </w:tcPr>
          <w:p>
            <w:r>
              <w:rPr>
                <w:rFonts w:ascii="Times New Roman" w:hAnsi="Times New Roman" w:eastAsia="標楷體" w:cs="標楷體"/>
                <w:sz w:val="22"/>
              </w:rPr>
              <w:t>平均交易確認時間（秒）</w:t>
            </w:r>
          </w:p>
        </w:tc>
        <w:tc>
          <w:tcPr>
            <w:tcW w:type="dxa" w:w="4394"/>
          </w:tcPr>
          <w:p>
            <w:r>
              <w:rPr>
                <w:rFonts w:ascii="Times New Roman" w:hAnsi="Times New Roman" w:eastAsia="標楷體" w:cs="標楷體"/>
                <w:sz w:val="22"/>
              </w:rPr>
              <w:t>約 15 秒</w:t>
            </w:r>
          </w:p>
        </w:tc>
      </w:tr>
    </w:tbl>
    <w:p/>
    <w:p>
      <w:pPr>
        <w:spacing w:after="120"/>
        <w:ind w:firstLine="480"/>
      </w:pPr>
      <w:r>
        <w:rPr>
          <w:rFonts w:ascii="Times New Roman" w:hAnsi="Times New Roman" w:eastAsia="標楷體" w:cs="標楷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rPr>
          <w:rFonts w:ascii="Times New Roman" w:hAnsi="Times New Roman" w:eastAsia="標楷體" w:cs="標楷體"/>
        </w:rP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eastAsia="標楷體" w:cs="標楷體"/>
                <w:sz w:val="22"/>
              </w:rPr>
              <w:t>準則</w:t>
            </w:r>
          </w:p>
        </w:tc>
        <w:tc>
          <w:tcPr>
            <w:tcW w:type="dxa" w:w="2197"/>
          </w:tcPr>
          <w:p>
            <w:r>
              <w:rPr>
                <w:rFonts w:ascii="Times New Roman" w:hAnsi="Times New Roman" w:eastAsia="標楷體" w:cs="標楷體"/>
                <w:sz w:val="22"/>
              </w:rPr>
              <w:t>此專案對應設計</w:t>
            </w:r>
          </w:p>
        </w:tc>
        <w:tc>
          <w:tcPr>
            <w:tcW w:type="dxa" w:w="2197"/>
          </w:tcPr>
          <w:p>
            <w:r>
              <w:rPr>
                <w:rFonts w:ascii="Times New Roman" w:hAnsi="Times New Roman" w:eastAsia="標楷體" w:cs="標楷體"/>
                <w:sz w:val="22"/>
              </w:rPr>
              <w:t>達成說明</w:t>
            </w:r>
          </w:p>
        </w:tc>
        <w:tc>
          <w:tcPr>
            <w:tcW w:type="dxa" w:w="2197"/>
          </w:tcPr>
          <w:p>
            <w:r>
              <w:rPr>
                <w:rFonts w:ascii="Times New Roman" w:hAnsi="Times New Roman" w:eastAsia="標楷體" w:cs="標楷體"/>
                <w:sz w:val="22"/>
              </w:rPr>
              <w:t>達成等級</w:t>
            </w:r>
          </w:p>
        </w:tc>
      </w:tr>
      <w:tr>
        <w:tc>
          <w:tcPr>
            <w:tcW w:type="dxa" w:w="2197"/>
          </w:tcPr>
          <w:p>
            <w:r>
              <w:rPr>
                <w:rFonts w:ascii="Times New Roman" w:hAnsi="Times New Roman" w:eastAsia="標楷體" w:cs="標楷體"/>
                <w:sz w:val="22"/>
              </w:rPr>
              <w:t>1. 設計為人工物</w:t>
            </w:r>
          </w:p>
        </w:tc>
        <w:tc>
          <w:tcPr>
            <w:tcW w:type="dxa" w:w="2197"/>
          </w:tcPr>
          <w:p>
            <w:r>
              <w:rPr>
                <w:rFonts w:ascii="Times New Roman" w:hAnsi="Times New Roman" w:eastAsia="標楷體" w:cs="標楷體"/>
                <w:sz w:val="22"/>
              </w:rPr>
              <w:t>響應式 WebApp 原型（Responsive Web Design, RWD，含三路徑優先級 DBH 量測與修正因子模組）+ CarbonCredit.sol 智能合約</w:t>
            </w:r>
          </w:p>
        </w:tc>
        <w:tc>
          <w:tcPr>
            <w:tcW w:type="dxa" w:w="2197"/>
          </w:tcPr>
          <w:p>
            <w:r>
              <w:rPr>
                <w:rFonts w:ascii="Times New Roman" w:hAnsi="Times New Roman" w:eastAsia="標楷體" w:cs="標楷體"/>
                <w:sz w:val="22"/>
              </w:rPr>
              <w:t>三支柱皆以可操作之軟體原型呈現</w:t>
            </w:r>
          </w:p>
        </w:tc>
        <w:tc>
          <w:tcPr>
            <w:tcW w:type="dxa" w:w="2197"/>
          </w:tcPr>
          <w:p>
            <w:r>
              <w:rPr>
                <w:rFonts w:ascii="Times New Roman" w:hAnsi="Times New Roman" w:eastAsia="標楷體" w:cs="標楷體"/>
                <w:sz w:val="22"/>
              </w:rPr>
              <w:t>高</w:t>
            </w:r>
          </w:p>
        </w:tc>
      </w:tr>
      <w:tr>
        <w:tc>
          <w:tcPr>
            <w:tcW w:type="dxa" w:w="2197"/>
          </w:tcPr>
          <w:p>
            <w:r>
              <w:rPr>
                <w:rFonts w:ascii="Times New Roman" w:hAnsi="Times New Roman" w:eastAsia="標楷體" w:cs="標楷體"/>
                <w:sz w:val="22"/>
              </w:rPr>
              <w:t>2. 問題關聯性</w:t>
            </w:r>
          </w:p>
        </w:tc>
        <w:tc>
          <w:tcPr>
            <w:tcW w:type="dxa" w:w="2197"/>
          </w:tcPr>
          <w:p>
            <w:r>
              <w:rPr>
                <w:rFonts w:ascii="Times New Roman" w:hAnsi="Times New Roman" w:eastAsia="標楷體" w:cs="標楷體"/>
                <w:sz w:val="22"/>
              </w:rPr>
              <w:t>對應小地主缺乏量測工具之技術缺口</w:t>
            </w:r>
          </w:p>
        </w:tc>
        <w:tc>
          <w:tcPr>
            <w:tcW w:type="dxa" w:w="2197"/>
          </w:tcPr>
          <w:p>
            <w:r>
              <w:rPr>
                <w:rFonts w:ascii="Times New Roman" w:hAnsi="Times New Roman" w:eastAsia="標楷體" w:cs="標楷體"/>
                <w:sz w:val="22"/>
              </w:rPr>
              <w:t>三個研究問題 直接源自實務問題</w:t>
            </w:r>
          </w:p>
        </w:tc>
        <w:tc>
          <w:tcPr>
            <w:tcW w:type="dxa" w:w="2197"/>
          </w:tcPr>
          <w:p>
            <w:r>
              <w:rPr>
                <w:rFonts w:ascii="Times New Roman" w:hAnsi="Times New Roman" w:eastAsia="標楷體" w:cs="標楷體"/>
                <w:sz w:val="22"/>
              </w:rPr>
              <w:t>高</w:t>
            </w:r>
          </w:p>
        </w:tc>
      </w:tr>
      <w:tr>
        <w:tc>
          <w:tcPr>
            <w:tcW w:type="dxa" w:w="2197"/>
          </w:tcPr>
          <w:p>
            <w:r>
              <w:rPr>
                <w:rFonts w:ascii="Times New Roman" w:hAnsi="Times New Roman" w:eastAsia="標楷體" w:cs="標楷體"/>
                <w:sz w:val="22"/>
              </w:rPr>
              <w:t>3. 設計評估</w:t>
            </w:r>
          </w:p>
        </w:tc>
        <w:tc>
          <w:tcPr>
            <w:tcW w:type="dxa" w:w="2197"/>
          </w:tcPr>
          <w:p>
            <w:r>
              <w:rPr>
                <w:rFonts w:ascii="Times New Roman" w:hAnsi="Times New Roman" w:eastAsia="標楷體" w:cs="標楷體"/>
                <w:sz w:val="22"/>
              </w:rPr>
              <w:t>MAE/MAPE/Bootstrap CI + Verra VM0047 §8.4 信賴區間驗算</w:t>
            </w:r>
          </w:p>
        </w:tc>
        <w:tc>
          <w:tcPr>
            <w:tcW w:type="dxa" w:w="2197"/>
          </w:tcPr>
          <w:p>
            <w:r>
              <w:rPr>
                <w:rFonts w:ascii="Times New Roman" w:hAnsi="Times New Roman" w:eastAsia="標楷體" w:cs="標楷體"/>
                <w:sz w:val="22"/>
              </w:rPr>
              <w:t>量化與質性雙軌評估</w:t>
            </w:r>
          </w:p>
        </w:tc>
        <w:tc>
          <w:tcPr>
            <w:tcW w:type="dxa" w:w="2197"/>
          </w:tcPr>
          <w:p>
            <w:r>
              <w:rPr>
                <w:rFonts w:ascii="Times New Roman" w:hAnsi="Times New Roman" w:eastAsia="標楷體" w:cs="標楷體"/>
                <w:sz w:val="22"/>
              </w:rPr>
              <w:t>高</w:t>
            </w:r>
          </w:p>
        </w:tc>
      </w:tr>
      <w:tr>
        <w:tc>
          <w:tcPr>
            <w:tcW w:type="dxa" w:w="2197"/>
          </w:tcPr>
          <w:p>
            <w:r>
              <w:rPr>
                <w:rFonts w:ascii="Times New Roman" w:hAnsi="Times New Roman" w:eastAsia="標楷體" w:cs="標楷體"/>
                <w:sz w:val="22"/>
              </w:rPr>
              <w:t>4. 研究貢獻</w:t>
            </w:r>
          </w:p>
        </w:tc>
        <w:tc>
          <w:tcPr>
            <w:tcW w:type="dxa" w:w="2197"/>
          </w:tcPr>
          <w:p>
            <w:r>
              <w:rPr>
                <w:rFonts w:ascii="Times New Roman" w:hAnsi="Times New Roman" w:eastAsia="標楷體" w:cs="標楷體"/>
                <w:sz w:val="22"/>
              </w:rPr>
              <w:t>三路徑優先級 DBH 量測 + 修正因子演算法 + 區塊鏈存證整合</w:t>
            </w:r>
          </w:p>
        </w:tc>
        <w:tc>
          <w:tcPr>
            <w:tcW w:type="dxa" w:w="2197"/>
          </w:tcPr>
          <w:p>
            <w:r>
              <w:rPr>
                <w:rFonts w:ascii="Times New Roman" w:hAnsi="Times New Roman" w:eastAsia="標楷體" w:cs="標楷體"/>
                <w:sz w:val="22"/>
              </w:rPr>
              <w:t>三項技術創新整合</w:t>
            </w:r>
          </w:p>
        </w:tc>
        <w:tc>
          <w:tcPr>
            <w:tcW w:type="dxa" w:w="2197"/>
          </w:tcPr>
          <w:p>
            <w:r>
              <w:rPr>
                <w:rFonts w:ascii="Times New Roman" w:hAnsi="Times New Roman" w:eastAsia="標楷體" w:cs="標楷體"/>
                <w:sz w:val="22"/>
              </w:rPr>
              <w:t>中</w:t>
            </w:r>
          </w:p>
        </w:tc>
      </w:tr>
      <w:tr>
        <w:tc>
          <w:tcPr>
            <w:tcW w:type="dxa" w:w="2197"/>
          </w:tcPr>
          <w:p>
            <w:r>
              <w:rPr>
                <w:rFonts w:ascii="Times New Roman" w:hAnsi="Times New Roman" w:eastAsia="標楷體" w:cs="標楷體"/>
                <w:sz w:val="22"/>
              </w:rPr>
              <w:t>5. 研究嚴謹性</w:t>
            </w:r>
          </w:p>
        </w:tc>
        <w:tc>
          <w:tcPr>
            <w:tcW w:type="dxa" w:w="2197"/>
          </w:tcPr>
          <w:p>
            <w:r>
              <w:rPr>
                <w:rFonts w:ascii="Times New Roman" w:hAnsi="Times New Roman" w:eastAsia="標楷體" w:cs="標楷體"/>
                <w:sz w:val="22"/>
              </w:rPr>
              <w:t>Bootstrap 10,000 次重抽樣（適用於 30–40 棵跨小／大樣本臨界區間）；QBFT 共識驗證</w:t>
            </w:r>
          </w:p>
        </w:tc>
        <w:tc>
          <w:tcPr>
            <w:tcW w:type="dxa" w:w="2197"/>
          </w:tcPr>
          <w:p>
            <w:r>
              <w:rPr>
                <w:rFonts w:ascii="Times New Roman" w:hAnsi="Times New Roman" w:eastAsia="標楷體" w:cs="標楷體"/>
                <w:sz w:val="22"/>
              </w:rPr>
              <w:t>統計方法論完整且涵蓋不同樣本量條件</w:t>
            </w:r>
          </w:p>
        </w:tc>
        <w:tc>
          <w:tcPr>
            <w:tcW w:type="dxa" w:w="2197"/>
          </w:tcPr>
          <w:p>
            <w:r>
              <w:rPr>
                <w:rFonts w:ascii="Times New Roman" w:hAnsi="Times New Roman" w:eastAsia="標楷體" w:cs="標楷體"/>
                <w:sz w:val="22"/>
              </w:rPr>
              <w:t>高</w:t>
            </w:r>
          </w:p>
        </w:tc>
      </w:tr>
      <w:tr>
        <w:tc>
          <w:tcPr>
            <w:tcW w:type="dxa" w:w="2197"/>
          </w:tcPr>
          <w:p>
            <w:r>
              <w:rPr>
                <w:rFonts w:ascii="Times New Roman" w:hAnsi="Times New Roman" w:eastAsia="標楷體" w:cs="標楷體"/>
                <w:sz w:val="22"/>
              </w:rPr>
              <w:t>6. 設計為搜尋過程</w:t>
            </w:r>
          </w:p>
        </w:tc>
        <w:tc>
          <w:tcPr>
            <w:tcW w:type="dxa" w:w="2197"/>
          </w:tcPr>
          <w:p>
            <w:r>
              <w:rPr>
                <w:rFonts w:ascii="Times New Roman" w:hAnsi="Times New Roman" w:eastAsia="標楷體" w:cs="標楷體"/>
                <w:sz w:val="22"/>
              </w:rPr>
              <w:t>三路徑優先級量測 → 修正因子演進 → 存證驗證</w:t>
            </w:r>
          </w:p>
        </w:tc>
        <w:tc>
          <w:tcPr>
            <w:tcW w:type="dxa" w:w="2197"/>
          </w:tcPr>
          <w:p>
            <w:r>
              <w:rPr>
                <w:rFonts w:ascii="Times New Roman" w:hAnsi="Times New Roman" w:eastAsia="標楷體" w:cs="標楷體"/>
                <w:sz w:val="22"/>
              </w:rPr>
              <w:t>DSR 六步驟迭代完整</w:t>
            </w:r>
          </w:p>
        </w:tc>
        <w:tc>
          <w:tcPr>
            <w:tcW w:type="dxa" w:w="2197"/>
          </w:tcPr>
          <w:p>
            <w:r>
              <w:rPr>
                <w:rFonts w:ascii="Times New Roman" w:hAnsi="Times New Roman" w:eastAsia="標楷體" w:cs="標楷體"/>
                <w:sz w:val="22"/>
              </w:rPr>
              <w:t>高</w:t>
            </w:r>
          </w:p>
        </w:tc>
      </w:tr>
      <w:tr>
        <w:tc>
          <w:tcPr>
            <w:tcW w:type="dxa" w:w="2197"/>
          </w:tcPr>
          <w:p>
            <w:r>
              <w:rPr>
                <w:rFonts w:ascii="Times New Roman" w:hAnsi="Times New Roman" w:eastAsia="標楷體" w:cs="標楷體"/>
                <w:sz w:val="22"/>
              </w:rPr>
              <w:t>7. 研究溝通</w:t>
            </w:r>
          </w:p>
        </w:tc>
        <w:tc>
          <w:tcPr>
            <w:tcW w:type="dxa" w:w="2197"/>
          </w:tcPr>
          <w:p>
            <w:r>
              <w:rPr>
                <w:rFonts w:ascii="Times New Roman" w:hAnsi="Times New Roman" w:eastAsia="標楷體" w:cs="標楷體"/>
                <w:sz w:val="22"/>
              </w:rPr>
              <w:t>學術論文 + 操作展示</w:t>
            </w:r>
          </w:p>
        </w:tc>
        <w:tc>
          <w:tcPr>
            <w:tcW w:type="dxa" w:w="2197"/>
          </w:tcPr>
          <w:p>
            <w:r>
              <w:rPr>
                <w:rFonts w:ascii="Times New Roman" w:hAnsi="Times New Roman" w:eastAsia="標楷體" w:cs="標楷體"/>
                <w:sz w:val="22"/>
              </w:rPr>
              <w:t>技術與實務閱聽眾均涵蓋</w:t>
            </w:r>
          </w:p>
        </w:tc>
        <w:tc>
          <w:tcPr>
            <w:tcW w:type="dxa" w:w="2197"/>
          </w:tcPr>
          <w:p>
            <w:r>
              <w:rPr>
                <w:rFonts w:ascii="Times New Roman" w:hAnsi="Times New Roman" w:eastAsia="標楷體" w:cs="標楷體"/>
                <w:sz w:val="22"/>
              </w:rPr>
              <w:t>中</w:t>
            </w:r>
          </w:p>
        </w:tc>
      </w:tr>
      <w:tr>
        <w:tc>
          <w:tcPr>
            <w:tcW w:type="dxa" w:w="2197"/>
          </w:tcPr>
          <w:p>
            <w:r>
              <w:rPr>
                <w:rFonts w:ascii="Times New Roman" w:hAnsi="Times New Roman" w:eastAsia="標楷體" w:cs="標楷體"/>
                <w:sz w:val="22"/>
              </w:rPr>
              <w:t>整體平均（參考門檻 ≥ 4.0）</w:t>
            </w:r>
          </w:p>
        </w:tc>
        <w:tc>
          <w:tcPr>
            <w:tcW w:type="dxa" w:w="2197"/>
          </w:tcPr>
          <w:p>
            <w:r>
              <w:rPr>
                <w:rFonts w:ascii="Times New Roman" w:hAnsi="Times New Roman" w:eastAsia="標楷體" w:cs="標楷體"/>
                <w:sz w:val="22"/>
              </w:rPr>
              <w:t>—</w:t>
            </w:r>
          </w:p>
        </w:tc>
        <w:tc>
          <w:tcPr>
            <w:tcW w:type="dxa" w:w="2197"/>
          </w:tcPr>
          <w:p>
            <w:r>
              <w:rPr>
                <w:rFonts w:ascii="Times New Roman" w:hAnsi="Times New Roman" w:eastAsia="標楷體" w:cs="標楷體"/>
                <w:sz w:val="22"/>
              </w:rPr>
              <w:t>—</w:t>
            </w:r>
          </w:p>
        </w:tc>
        <w:tc>
          <w:tcPr>
            <w:tcW w:type="dxa" w:w="2197"/>
          </w:tcPr>
          <w:p>
            <w:r>
              <w:rPr>
                <w:rFonts w:ascii="Times New Roman" w:hAnsi="Times New Roman" w:eastAsia="標楷體" w:cs="標楷體"/>
                <w:sz w:val="22"/>
              </w:rPr>
              <w:t>中</w:t>
            </w:r>
          </w:p>
        </w:tc>
      </w:tr>
    </w:tbl>
    <w:p>
      <w:pPr>
        <w:pStyle w:val="Heading2"/>
      </w:pPr>
      <w:bookmarkStart w:id="45" w:name="_Toc10044"/>
      <w:r>
        <w:rPr>
          <w:rFonts w:ascii="Times New Roman" w:hAnsi="Times New Roman" w:eastAsia="標楷體" w:cs="標楷體"/>
        </w:rPr>
        <w:t xml:space="preserve">4.5 Hevner 七項準則符合度分析</w:t>
      </w:r>
      <w:bookmarkEnd w:id="45"/>
    </w:p>
    <w:p>
      <w:r>
        <w:rPr>
          <w:rFonts w:ascii="Times New Roman" w:hAnsi="Times New Roman" w:eastAsia="標楷體" w:cs="標楷體"/>
        </w:rP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rPr>
          <w:rFonts w:ascii="Times New Roman" w:hAnsi="Times New Roman" w:eastAsia="標楷體" w:cs="標楷體"/>
        </w:rPr>
        <w:t xml:space="preserve">表 4-6　Hevner 七項準則量化映射</w:t>
      </w:r>
    </w:p>
    <w:p>
      <w:r>
        <w:rPr>
          <w:rFonts w:ascii="Times New Roman" w:hAnsi="Times New Roman" w:eastAsia="標楷體" w:cs="標楷體"/>
        </w:rPr>
        <w:t>準則一（設計物件）：三路徑優先級方法（Path 0 OCR 直讀、Path A 參照物比例、Path B 薄透鏡公式）、P4 video-v2 影片前處理演算法、CarbonCredit.sol 智能合約構成此專案三項可交付設計物件。</w:t>
      </w:r>
    </w:p>
    <w:p>
      <w:r>
        <w:rPr>
          <w:rFonts w:ascii="Times New Roman" w:hAnsi="Times New Roman" w:eastAsia="標楷體" w:cs="標楷體"/>
        </w:rPr>
        <w:t xml:space="preserve">準則二（問題相關性）：Verra VM0047 §8.4 不確定性門檻要求量測具備可稽核的 CI 估計；現有人工捲尺量測無法系統性產生此類統計輸出，此專案直接填補此技術缺口。</w:t>
      </w:r>
    </w:p>
    <w:p>
      <w:r>
        <w:rPr>
          <w:rFonts w:ascii="Times New Roman" w:hAnsi="Times New Roman" w:eastAsia="標楷體" w:cs="標楷體"/>
        </w:rPr>
        <w:t>準則三（設計評估）：DBH 層級 90% CI 半寬佔均值比率 6.3%（門檻 &lt; 100%）、AGB 層級 14.7%（門檻 &lt; 100%）、31 棵通過率 74.2%（23/31）、CF 偏差均值收斂至 ~0% 共同支撐此準則。</w:t>
      </w:r>
    </w:p>
    <w:p>
      <w:r>
        <w:rPr>
          <w:rFonts w:ascii="Times New Roman" w:hAnsi="Times New Roman" w:eastAsia="標楷體" w:cs="標楷體"/>
        </w:rPr>
        <w:t xml:space="preserve">準則四（研究貢獻）：五條流程對照方法論提供影片前處理策略的系統性比較框架；三支柱整合架構（量測—修正—存證）提供可複製的原型；區塊鏈碳匯存證模式提供可稽核的碳權計量路徑。</w:t>
      </w:r>
    </w:p>
    <w:p>
      <w:r>
        <w:rPr>
          <w:rFonts w:ascii="Times New Roman" w:hAnsi="Times New Roman" w:eastAsia="標楷體" w:cs="標楷體"/>
        </w:rPr>
        <w:t xml:space="preserve">準則五（研究嚴謹性）：Bootstrap 10,000 次重抽樣 95% CI、LMM 線性混合效應模型（Restricted Maximum Likelihood, REML 估計）控制樹種隨機效應、QBFT 鏈上—資料庫一致性驗證共同保障研究嚴謹性。</w:t>
      </w:r>
    </w:p>
    <w:p>
      <w:r>
        <w:rPr>
          <w:rFonts w:ascii="Times New Roman" w:hAnsi="Times New Roman" w:eastAsia="標楷體" w:cs="標楷體"/>
        </w:rPr>
        <w:t>準則六（設計搜尋過程）：從單一流程演進至五條流程對照的迭代設計歷程，以實驗結果確認 P4 為最終生產路徑，體現 DSR 以迭代實驗驅動設計決策的核心精神。</w:t>
      </w:r>
    </w:p>
    <w:p>
      <w:r>
        <w:rPr>
          <w:rFonts w:ascii="Times New Roman" w:hAnsi="Times New Roman" w:eastAsia="標楷體" w:cs="標楷體"/>
        </w:rPr>
        <w:t xml:space="preserve">準則七（研究傳播）：本論文、GitHub repository（forest-carbon-measurement）、Journey Showcase（forest-carbon.duckdns.org/journey/）三個管道涵蓋學術與實務受眾。</w:t>
      </w:r>
    </w:p>
    <w:p>
      <w:r>
        <w:rPr>
          <w:rFonts w:ascii="Times New Roman" w:hAnsi="Times New Roman" w:eastAsia="標楷體" w:cs="標楷體"/>
        </w:rP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bookmarkStart w:id="46" w:name="_Toc10045"/>
      <w:r>
        <w:rPr>
          <w:rFonts w:ascii="Times New Roman" w:hAnsi="Times New Roman" w:eastAsia="標楷體" w:cs="標楷體"/>
        </w:rPr>
        <w:t xml:space="preserve">4.6 精度分層與成本效益分析</w:t>
      </w:r>
      <w:bookmarkEnd w:id="46"/>
    </w:p>
    <w:p>
      <w:r>
        <w:rPr>
          <w:rFonts w:ascii="Times New Roman" w:hAnsi="Times New Roman" w:eastAsia="標楷體" w:cs="標楷體"/>
        </w:rPr>
        <w:t>以量測精度指標取代使用者主觀可用性問卷，此節從尺寸分層、校準因子敏感度與成本效益三個維度深化精度評估結果的統計結構，提供超越整體通過率的精細化可行性判斷依據。</w:t>
      </w:r>
    </w:p>
    <w:p>
      <w:pPr>
        <w:pStyle w:val="Heading3"/>
      </w:pPr>
      <w:bookmarkStart w:id="47" w:name="_Toc10046"/>
      <w:r>
        <w:rPr>
          <w:rFonts w:ascii="Times New Roman" w:hAnsi="Times New Roman" w:eastAsia="標楷體" w:cs="標楷體"/>
        </w:rPr>
        <w:t xml:space="preserve">4.6.1 尺寸分層精度分析</w:t>
      </w:r>
      <w:bookmarkEnd w:id="47"/>
    </w:p>
    <w:p>
      <w:r>
        <w:rPr>
          <w:rFonts w:ascii="Times New Roman" w:hAnsi="Times New Roman" w:eastAsia="標楷體" w:cs="標楷體"/>
        </w:rP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bookmarkStart w:id="48" w:name="_Toc10047"/>
      <w:r>
        <w:rPr>
          <w:rFonts w:ascii="Times New Roman" w:hAnsi="Times New Roman" w:eastAsia="標楷體" w:cs="標楷體"/>
        </w:rPr>
        <w:t xml:space="preserve">4.6.2 校準因子敏感度分析</w:t>
      </w:r>
      <w:bookmarkEnd w:id="48"/>
    </w:p>
    <w:p>
      <w:r>
        <w:rPr>
          <w:rFonts w:ascii="Times New Roman" w:hAnsi="Times New Roman" w:eastAsia="標楷體" w:cs="標楷體"/>
        </w:rP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bookmarkStart w:id="49" w:name="_Toc10048"/>
      <w:r>
        <w:rPr>
          <w:rFonts w:ascii="Times New Roman" w:hAnsi="Times New Roman" w:eastAsia="標楷體" w:cs="標楷體"/>
        </w:rPr>
        <w:t xml:space="preserve">4.6.3 成本效益分析</w:t>
      </w:r>
      <w:bookmarkEnd w:id="49"/>
    </w:p>
    <w:p>
      <w:r>
        <w:rPr>
          <w:rFonts w:ascii="Times New Roman" w:hAnsi="Times New Roman" w:eastAsia="標楷體" w:cs="標楷體"/>
        </w:rP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bookmarkStart w:id="50" w:name="_Toc10049"/>
      <w:r>
        <w:rPr>
          <w:rFonts w:ascii="Times New Roman" w:hAnsi="Times New Roman" w:eastAsia="標楷體" w:cs="標楷體"/>
          <w:b/>
          <w:sz w:val="24"/>
        </w:rPr>
        <w:t>4.7 綜合評估討論</w:t>
      </w:r>
      <w:bookmarkEnd w:id="50"/>
    </w:p>
    <w:p>
      <w:pPr>
        <w:spacing w:after="120"/>
        <w:ind w:firstLine="480"/>
      </w:pPr>
      <w:r>
        <w:rPr>
          <w:rFonts w:ascii="Times New Roman" w:hAnsi="Times New Roman" w:eastAsia="標楷體" w:cs="標楷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Times New Roman" w:hAnsi="Times New Roman" w:eastAsia="標楷體" w:cs="標楷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rPr>
          <w:rFonts w:ascii="Times New Roman" w:hAnsi="Times New Roman" w:eastAsia="標楷體" w:cs="標楷體"/>
        </w:rP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Times New Roman" w:hAnsi="Times New Roman" w:eastAsia="標楷體" w:cs="標楷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rFonts w:ascii="Times New Roman" w:hAnsi="Times New Roman" w:eastAsia="標楷體" w:cs="標楷體"/>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bookmarkStart w:id="51" w:name="_Toc10050"/>
      <w:r>
        <w:rPr>
          <w:rFonts w:ascii="Times New Roman" w:hAnsi="Times New Roman" w:eastAsia="標楷體" w:cs="標楷體"/>
          <w:b/>
          <w:sz w:val="28"/>
        </w:rPr>
        <w:t>第五章　結論與未來發展</w:t>
      </w:r>
      <w:bookmarkEnd w:id="51"/>
    </w:p>
    <w:p>
      <w:pPr>
        <w:spacing w:after="120"/>
        <w:ind w:firstLine="480"/>
      </w:pPr>
      <w:r>
        <w:rPr>
          <w:rFonts w:ascii="Times New Roman" w:hAnsi="Times New Roman" w:eastAsia="標楷體" w:cs="標楷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bookmarkStart w:id="52" w:name="_Toc10051"/>
      <w:r>
        <w:rPr>
          <w:rFonts w:ascii="Times New Roman" w:hAnsi="Times New Roman" w:eastAsia="標楷體" w:cs="標楷體"/>
          <w:b/>
          <w:sz w:val="24"/>
        </w:rPr>
        <w:t>5.1　研究成果：三大研究問題回答</w:t>
      </w:r>
      <w:bookmarkEnd w:id="52"/>
    </w:p>
    <w:p>
      <w:pPr>
        <w:spacing w:after="120"/>
        <w:ind w:firstLine="480"/>
      </w:pPr>
      <w:r>
        <w:rPr>
          <w:rFonts w:ascii="Times New Roman" w:hAnsi="Times New Roman" w:eastAsia="標楷體" w:cs="標楷體"/>
          <w:sz w:val="24"/>
        </w:rPr>
        <w:t>此專案以第四章之田野量測實驗與系統評估結果為依據，逐一回答第一章所提出之三個研究問題。</w:t>
      </w:r>
    </w:p>
    <w:p>
      <w:pPr>
        <w:spacing w:after="120"/>
        <w:ind w:firstLine="480"/>
      </w:pPr>
      <w:r>
        <w:rPr>
          <w:rFonts w:ascii="Times New Roman" w:hAnsi="Times New Roman" w:eastAsia="標楷體" w:cs="標楷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Times New Roman" w:hAnsi="Times New Roman" w:eastAsia="標楷體" w:cs="標楷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Times New Roman" w:hAnsi="Times New Roman" w:eastAsia="標楷體" w:cs="標楷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bookmarkStart w:id="53" w:name="_Toc10052"/>
      <w:r>
        <w:rPr>
          <w:rFonts w:ascii="Times New Roman" w:hAnsi="Times New Roman" w:eastAsia="標楷體" w:cs="標楷體"/>
          <w:b/>
          <w:sz w:val="24"/>
        </w:rPr>
        <w:t>5.2　政策建議</w:t>
      </w:r>
      <w:bookmarkEnd w:id="53"/>
    </w:p>
    <w:p>
      <w:pPr>
        <w:spacing w:after="120"/>
        <w:ind w:firstLine="480"/>
      </w:pPr>
      <w:r>
        <w:rPr>
          <w:rFonts w:ascii="Times New Roman" w:hAnsi="Times New Roman" w:eastAsia="標楷體" w:cs="標楷體"/>
          <w:sz w:val="24"/>
        </w:rPr>
        <w:t>依據此專案之研究成果，提出以下兩項具體政策建議，以促進電腦視覺碳匯量測系統於台灣林業政策框架內之正式採用。</w:t>
      </w:r>
    </w:p>
    <w:p>
      <w:pPr>
        <w:spacing w:after="120"/>
        <w:ind w:firstLine="480"/>
      </w:pPr>
      <w:r>
        <w:rPr>
          <w:rFonts w:ascii="Times New Roman" w:hAnsi="Times New Roman" w:eastAsia="標楷體" w:cs="標楷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Times New Roman" w:hAnsi="Times New Roman" w:eastAsia="標楷體" w:cs="標楷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bookmarkStart w:id="54" w:name="_Toc10053"/>
      <w:r>
        <w:rPr>
          <w:rFonts w:ascii="Times New Roman" w:hAnsi="Times New Roman" w:eastAsia="標楷體" w:cs="標楷體"/>
          <w:b/>
          <w:sz w:val="24"/>
        </w:rPr>
        <w:t>5.3　研究貢獻</w:t>
      </w:r>
      <w:bookmarkEnd w:id="54"/>
    </w:p>
    <w:p>
      <w:pPr>
        <w:spacing w:after="120"/>
        <w:ind w:firstLine="480"/>
      </w:pPr>
      <w:r>
        <w:rPr>
          <w:rFonts w:ascii="Times New Roman" w:hAnsi="Times New Roman" w:eastAsia="標楷體" w:cs="標楷體"/>
          <w:sz w:val="24"/>
        </w:rPr>
        <w:t>此專案於學術與實務層面有三項核心貢獻。</w:t>
      </w:r>
    </w:p>
    <w:p>
      <w:pPr>
        <w:spacing w:after="120"/>
        <w:ind w:firstLine="480"/>
      </w:pPr>
      <w:r>
        <w:rPr>
          <w:rFonts w:ascii="Times New Roman" w:hAnsi="Times New Roman" w:eastAsia="標楷體" w:cs="標楷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Times New Roman" w:hAnsi="Times New Roman" w:eastAsia="標楷體" w:cs="標楷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Times New Roman" w:hAnsi="Times New Roman" w:eastAsia="標楷體" w:cs="標楷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bookmarkStart w:id="55" w:name="_Toc10054"/>
      <w:r>
        <w:rPr>
          <w:rFonts w:ascii="Times New Roman" w:hAnsi="Times New Roman" w:eastAsia="標楷體" w:cs="標楷體"/>
          <w:b/>
          <w:sz w:val="24"/>
        </w:rPr>
        <w:t>5.4　研究限制</w:t>
      </w:r>
      <w:bookmarkEnd w:id="55"/>
    </w:p>
    <w:p>
      <w:pPr>
        <w:spacing w:after="120"/>
        <w:ind w:firstLine="480"/>
      </w:pPr>
      <w:r>
        <w:rPr>
          <w:rFonts w:ascii="Times New Roman" w:hAnsi="Times New Roman" w:eastAsia="標楷體" w:cs="標楷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bookmarkStart w:id="56" w:name="_Toc10055"/>
      <w:r>
        <w:rPr>
          <w:rFonts w:ascii="Times New Roman" w:hAnsi="Times New Roman" w:eastAsia="標楷體" w:cs="標楷體"/>
          <w:b/>
          <w:sz w:val="24"/>
        </w:rPr>
        <w:t>5.5　未來發展</w:t>
      </w:r>
      <w:bookmarkEnd w:id="56"/>
    </w:p>
    <w:p>
      <w:pPr>
        <w:spacing w:after="120"/>
        <w:ind w:firstLine="480"/>
      </w:pPr>
      <w:r>
        <w:rPr>
          <w:rFonts w:ascii="Times New Roman" w:hAnsi="Times New Roman" w:eastAsia="標楷體" w:cs="標楷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bookmarkStart w:id="57" w:name="_Toc10056"/>
      <w:r>
        <w:rPr>
          <w:rFonts w:ascii="Times New Roman" w:hAnsi="Times New Roman" w:eastAsia="標楷體" w:cs="標楷體"/>
        </w:rPr>
        <w:t xml:space="preserve">5.6　臺灣首件 Verra 林業碳匯認證的可行路徑</w:t>
      </w:r>
      <w:bookmarkEnd w:id="57"/>
    </w:p>
    <w:p>
      <w:pPr>
        <w:pStyle w:val="Heading3"/>
      </w:pPr>
      <w:bookmarkStart w:id="58" w:name="_Toc10057"/>
      <w:r>
        <w:rPr>
          <w:rFonts w:ascii="Times New Roman" w:hAnsi="Times New Roman" w:eastAsia="標楷體" w:cs="標楷體"/>
        </w:rPr>
        <w:t xml:space="preserve">5.6.1　先行者困境與三條破局路徑</w:t>
      </w:r>
      <w:bookmarkEnd w:id="58"/>
    </w:p>
    <w:p>
      <w:pPr>
        <w:spacing w:after="120"/>
        <w:ind w:firstLine="480"/>
      </w:pPr>
      <w:r>
        <w:rPr>
          <w:rFonts w:ascii="Times New Roman" w:hAnsi="Times New Roman" w:eastAsia="標楷體" w:cs="標楷體"/>
        </w:rP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rPr>
          <w:rFonts w:ascii="Times New Roman" w:hAnsi="Times New Roman" w:eastAsia="標楷體" w:cs="標楷體"/>
        </w:rP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rPr>
          <w:rFonts w:ascii="Times New Roman" w:hAnsi="Times New Roman" w:eastAsia="標楷體" w:cs="標楷體"/>
        </w:rP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rPr>
          <w:rFonts w:ascii="Times New Roman" w:hAnsi="Times New Roman" w:eastAsia="標楷體" w:cs="標楷體"/>
        </w:rP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bookmarkStart w:id="59" w:name="_Toc10058"/>
      <w:r>
        <w:rPr>
          <w:rFonts w:ascii="Times New Roman" w:hAnsi="Times New Roman" w:eastAsia="標楷體" w:cs="標楷體"/>
        </w:rPr>
        <w:t xml:space="preserve">5.6.2　示範計畫路徑的具體形貌</w:t>
      </w:r>
      <w:bookmarkEnd w:id="59"/>
    </w:p>
    <w:p>
      <w:pPr>
        <w:spacing w:after="120"/>
        <w:ind w:firstLine="480"/>
      </w:pPr>
      <w:r>
        <w:rPr>
          <w:rFonts w:ascii="Times New Roman" w:hAnsi="Times New Roman" w:eastAsia="標楷體" w:cs="標楷體"/>
        </w:rPr>
        <w:t xml:space="preserve">以示範計畫為核心的路徑三，在落地執行上需要同時具備四項要素。</w:t>
      </w:r>
    </w:p>
    <w:p>
      <w:pPr>
        <w:spacing w:after="120"/>
        <w:ind w:firstLine="480"/>
      </w:pPr>
      <w:r>
        <w:rPr>
          <w:rFonts w:ascii="Times New Roman" w:hAnsi="Times New Roman" w:eastAsia="標楷體" w:cs="標楷體"/>
        </w:rP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rPr>
          <w:rFonts w:ascii="Times New Roman" w:hAnsi="Times New Roman" w:eastAsia="標楷體" w:cs="標楷體"/>
        </w:rP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rPr>
          <w:rFonts w:ascii="Times New Roman" w:hAnsi="Times New Roman" w:eastAsia="標楷體" w:cs="標楷體"/>
        </w:rP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rPr>
          <w:rFonts w:ascii="Times New Roman" w:hAnsi="Times New Roman" w:eastAsia="標楷體" w:cs="標楷體"/>
        </w:rPr>
        <w:t xml:space="preserve">其四，法律預諮詢。於申請準備期間向環境部提出初步意見諮詢，釐清「境外機構核發、本土林地產生之碳信用」的認定立場，以降低申請主體在碳信用核發後的法律不確定性。</w:t>
      </w:r>
    </w:p>
    <w:p>
      <w:pPr>
        <w:pStyle w:val="Heading3"/>
      </w:pPr>
      <w:bookmarkStart w:id="60" w:name="_Toc10059"/>
      <w:r>
        <w:rPr>
          <w:rFonts w:ascii="Times New Roman" w:hAnsi="Times New Roman" w:eastAsia="標楷體" w:cs="標楷體"/>
        </w:rPr>
        <w:t xml:space="preserve">5.6.3　第一個案例的敘事框架</w:t>
      </w:r>
      <w:bookmarkEnd w:id="60"/>
    </w:p>
    <w:p>
      <w:pPr>
        <w:spacing w:after="120"/>
        <w:ind w:firstLine="480"/>
      </w:pPr>
      <w:r>
        <w:rPr>
          <w:rFonts w:ascii="Times New Roman" w:hAnsi="Times New Roman" w:eastAsia="標楷體" w:cs="標楷體"/>
        </w:rPr>
        <w:t xml:space="preserve">達成首件認證，在技術與法律的準備之外，還需要一個能讓各方願意投入的敘事框架——一個可以同時對媒體、政策制定者與後續潛在申請者說清楚的故事。</w:t>
      </w:r>
    </w:p>
    <w:p>
      <w:pPr>
        <w:spacing w:after="120"/>
        <w:ind w:firstLine="480"/>
      </w:pPr>
      <w:r>
        <w:rPr>
          <w:rFonts w:ascii="Times New Roman" w:hAnsi="Times New Roman" w:eastAsia="標楷體" w:cs="標楷體"/>
        </w:rP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rPr>
          <w:rFonts w:ascii="Times New Roman" w:hAnsi="Times New Roman" w:eastAsia="標楷體" w:cs="標楷體"/>
        </w:rP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rPr>
          <w:rFonts w:ascii="Times New Roman" w:hAnsi="Times New Roman" w:eastAsia="標楷體" w:cs="標楷體"/>
        </w:rP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bookmarkStart w:id="61" w:name="_Toc10060"/>
      <w:r>
        <w:rPr>
          <w:rFonts w:ascii="Times New Roman" w:hAnsi="Times New Roman" w:eastAsia="標楷體" w:cs="標楷體"/>
          <w:sz w:val="32"/>
        </w:rPr>
        <w:t>參考文獻</w:t>
      </w:r>
      <w:bookmarkEnd w:id="61"/>
    </w:p>
    <w:p>
      <w:pPr>
        <w:pStyle w:val="Heading2"/>
      </w:pPr>
      <w:bookmarkStart w:id="62" w:name="_Toc10061"/>
      <w:r>
        <w:rPr>
          <w:rFonts w:ascii="Times New Roman" w:hAnsi="Times New Roman" w:eastAsia="標楷體" w:cs="標楷體"/>
          <w:sz w:val="26"/>
        </w:rPr>
        <w:t>中文文獻</w:t>
      </w:r>
      <w:bookmarkEnd w:id="62"/>
    </w:p>
    <w:p>
      <w:pPr>
        <w:spacing w:after="120"/>
        <w:ind w:left="720" w:hanging="720"/>
      </w:pPr>
      <w:r>
        <w:rPr>
          <w:rFonts w:ascii="Times New Roman" w:hAnsi="Times New Roman" w:eastAsia="標楷體" w:cs="標楷體"/>
          <w:b/>
          <w:sz w:val="24"/>
        </w:rPr>
        <w:t>行政院農業委員會. (2023). AR-TMS0001 造林及再造林碳匯方法學. 農業部農業淨零排放資源網. https://net-zero.moa.gov.tw/</w:t>
      </w:r>
    </w:p>
    <w:p>
      <w:pPr>
        <w:spacing w:after="120"/>
        <w:ind w:left="720" w:hanging="720"/>
      </w:pPr>
      <w:r>
        <w:rPr>
          <w:rFonts w:ascii="Times New Roman" w:hAnsi="Times New Roman" w:eastAsia="標楷體" w:cs="標楷體"/>
          <w:sz w:val="24"/>
        </w:rPr>
        <w:t>林俊成、邱祈榮、詹為巽、徐韻茹. (2019). 區塊鏈應用於林業之現況與挑戰. 林業研究專訊, 26(3).</w:t>
      </w:r>
    </w:p>
    <w:p>
      <w:pPr>
        <w:spacing w:after="120"/>
        <w:ind w:left="720" w:hanging="720"/>
      </w:pPr>
      <w:r>
        <w:rPr>
          <w:rFonts w:ascii="Times New Roman" w:hAnsi="Times New Roman" w:eastAsia="標楷體" w:cs="標楷體"/>
          <w:sz w:val="24"/>
        </w:rPr>
        <w:t>林俊成、林政融、李隆恩、王培蓉、詹為巽. (2025). 森林碳匯調查與監測手冊（林業叢刊第 305 號）. 林業試驗所.</w:t>
      </w:r>
    </w:p>
    <w:p>
      <w:pPr>
        <w:spacing w:after="120"/>
        <w:ind w:left="720" w:hanging="720"/>
      </w:pPr>
      <w:r>
        <w:rPr>
          <w:rFonts w:ascii="Times New Roman" w:hAnsi="Times New Roman" w:eastAsia="標楷體" w:cs="標楷體"/>
          <w:sz w:val="24"/>
        </w:rPr>
        <w:t>許家齊、邱祈榮. (2019). 從區塊鏈及物聯網技術之應用探討我國林業之未來發展. 林業研究專訊, 26(4).</w:t>
      </w:r>
    </w:p>
    <w:p>
      <w:pPr>
        <w:spacing w:after="120"/>
        <w:ind w:left="720" w:hanging="720"/>
      </w:pPr>
      <w:r>
        <w:rPr>
          <w:rFonts w:ascii="Times New Roman" w:hAnsi="Times New Roman" w:eastAsia="標楷體" w:cs="標楷體"/>
        </w:rPr>
        <w:t xml:space="preserve">臺灣碳權交易所. (2023). 臺灣碳權交易所官方網站. https://www.tcx.com.tw/zh/</w:t>
      </w:r>
    </w:p>
    <w:p>
      <w:pPr>
        <w:spacing w:after="120"/>
        <w:ind w:left="720" w:hanging="720"/>
      </w:pPr>
      <w:r>
        <w:rPr>
          <w:rFonts w:ascii="Times New Roman" w:hAnsi="Times New Roman" w:eastAsia="標楷體" w:cs="標楷體"/>
        </w:rPr>
        <w:t xml:space="preserve">環境部. (2024). 氣候變遷因應法. 全國法規資料庫. https://law.moj.gov.tw/LawClass/LawAll.aspx?pcode=O0020098</w:t>
      </w:r>
    </w:p>
    <w:p>
      <w:pPr>
        <w:spacing w:after="120"/>
        <w:ind w:left="720" w:hanging="720"/>
      </w:pPr>
      <w:r>
        <w:rPr>
          <w:rFonts w:ascii="Times New Roman" w:hAnsi="Times New Roman" w:eastAsia="標楷體" w:cs="標楷體"/>
        </w:rPr>
        <w:t xml:space="preserve">環境部. (2024). 合格查驗機構. 事業溫室氣體排放量資訊平台—溫室氣體盤查登錄. https://ghgregistry.moenv.gov.tw/epa_ghg/VerificationMgt/InspectionAgency.aspx</w:t>
      </w:r>
    </w:p>
    <w:p>
      <w:pPr>
        <w:pStyle w:val="Heading2"/>
      </w:pPr>
      <w:bookmarkStart w:id="63" w:name="_Toc10062"/>
      <w:r>
        <w:rPr>
          <w:rFonts w:ascii="Times New Roman" w:hAnsi="Times New Roman" w:eastAsia="標楷體" w:cs="標楷體"/>
          <w:sz w:val="26"/>
        </w:rPr>
        <w:t>英文文獻</w:t>
      </w:r>
      <w:bookmarkEnd w:id="63"/>
    </w:p>
    <w:p>
      <w:pPr>
        <w:spacing w:after="120"/>
        <w:ind w:left="720" w:hanging="720"/>
      </w:pPr>
      <w:r>
        <w:rPr>
          <w:rFonts w:ascii="Times New Roman" w:hAnsi="Times New Roman" w:eastAsia="標楷體" w:cs="標楷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Times New Roman" w:hAnsi="Times New Roman" w:eastAsia="標楷體" w:cs="標楷體"/>
          <w:b/>
          <w:sz w:val="24"/>
        </w:rPr>
        <w:t>Efron, B., &amp; Tibshirani, R. J. (1993). An Introduction to the Bootstrap. Chapman &amp; Hall/CRC.</w:t>
      </w:r>
    </w:p>
    <w:p>
      <w:pPr>
        <w:spacing w:after="120"/>
        <w:ind w:left="720" w:hanging="720"/>
      </w:pPr>
      <w:r>
        <w:rPr>
          <w:rFonts w:ascii="Times New Roman" w:hAnsi="Times New Roman" w:eastAsia="標楷體" w:cs="標楷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Times New Roman" w:hAnsi="Times New Roman" w:eastAsia="標楷體" w:cs="標楷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Times New Roman" w:hAnsi="Times New Roman" w:eastAsia="標楷體" w:cs="標楷體"/>
          <w:sz w:val="24"/>
        </w:rPr>
        <w:t>Hevner, A. R., March, S. T., Park, J., &amp; Ram, S. (2004). Design science in information systems research. MIS Quarterly, 28(1), 75–105. https://doi.org/10.2307/25148625</w:t>
      </w:r>
    </w:p>
    <w:p>
      <w:pPr>
        <w:spacing w:after="120"/>
        <w:ind w:left="720" w:hanging="720"/>
      </w:pPr>
      <w:r>
        <w:rPr>
          <w:rFonts w:ascii="Times New Roman" w:hAnsi="Times New Roman" w:eastAsia="標楷體" w:cs="標楷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Times New Roman" w:hAnsi="Times New Roman" w:eastAsia="標楷體" w:cs="標楷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Times New Roman" w:hAnsi="Times New Roman" w:eastAsia="標楷體" w:cs="標楷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Times New Roman" w:hAnsi="Times New Roman" w:eastAsia="標楷體" w:cs="標楷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Times New Roman" w:hAnsi="Times New Roman" w:eastAsia="標楷體" w:cs="標楷體"/>
          <w:b/>
          <w:sz w:val="24"/>
        </w:rPr>
        <w:t>March, S. T., &amp; Smith, G. F. (1995). Design and natural science research on information technology. Decision Support Systems, 15(4), 251–266. https://doi.org/10.1016/0167-9236(94)00041-2</w:t>
      </w:r>
    </w:p>
    <w:p>
      <w:pPr>
        <w:spacing w:after="120"/>
        <w:ind w:left="720" w:hanging="720"/>
      </w:pPr>
      <w:r>
        <w:rPr>
          <w:rFonts w:ascii="Times New Roman" w:hAnsi="Times New Roman" w:eastAsia="標楷體" w:cs="標楷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Times New Roman" w:hAnsi="Times New Roman" w:eastAsia="標楷體" w:cs="標楷體"/>
          <w:b/>
          <w:sz w:val="24"/>
        </w:rPr>
        <w:t>Takeuchi, K. (2012). Rebuilding the relationship between people and nature: The Satoyama Initiative. Ecological Engineering, 45, 9–15. https://doi.org/10.1016/j.ecoleng.2011.03.004</w:t>
      </w:r>
    </w:p>
    <w:p>
      <w:pPr>
        <w:spacing w:after="120"/>
        <w:ind w:left="720" w:hanging="720"/>
      </w:pPr>
      <w:r>
        <w:rPr>
          <w:rFonts w:ascii="Times New Roman" w:hAnsi="Times New Roman" w:eastAsia="標楷體" w:cs="標楷體"/>
          <w:b/>
          <w:sz w:val="24"/>
        </w:rPr>
        <w:t>Verra. (2023). VCS Methodology Requirements v4.4. Verified Carbon Standard. https://verra.org/methodologies/vcs-methodology-requirements/</w:t>
      </w:r>
    </w:p>
    <w:p>
      <w:pPr>
        <w:spacing w:after="120"/>
        <w:ind w:left="720" w:hanging="720"/>
      </w:pPr>
      <w:r>
        <w:rPr>
          <w:rFonts w:ascii="Times New Roman" w:hAnsi="Times New Roman" w:eastAsia="標楷體" w:cs="標楷體"/>
        </w:rPr>
        <w:t xml:space="preserve">Verra. (2024). VCS Standard v4.7. Verified Carbon Standard. https://verra.org/wp-content/uploads/2024/04/VCS-Standard-v4.7-FINAL-4.15.24.pdf</w:t>
      </w:r>
    </w:p>
    <w:p>
      <w:pPr>
        <w:spacing w:after="120"/>
        <w:ind w:left="720" w:hanging="720"/>
      </w:pPr>
      <w:r>
        <w:rPr>
          <w:rFonts w:ascii="Times New Roman" w:hAnsi="Times New Roman" w:eastAsia="標楷體" w:cs="標楷體"/>
        </w:rPr>
        <w:t xml:space="preserve">Verra. (2024). Validation and verification bodies. Verified Carbon Standard. https://verra.org/validation-verification/</w:t>
      </w:r>
    </w:p>
    <w:p>
      <w:pPr>
        <w:spacing w:after="120"/>
        <w:ind w:left="720" w:hanging="720"/>
      </w:pPr>
      <w:r>
        <w:rPr>
          <w:rFonts w:ascii="Times New Roman" w:hAnsi="Times New Roman" w:eastAsia="標楷體" w:cs="標楷體"/>
        </w:rPr>
        <w:t xml:space="preserve">Verra. (2025). VM0047 Afforestation, reforestation, and revegetation, v1.1. Verified Carbon Standard. https://verra.org/methodologies/vm0047-afforestation-reforestation-and-revegetation-v1-1/</w:t>
      </w:r>
    </w:p>
    <w:p>
      <w:pPr>
        <w:spacing w:after="120"/>
        <w:ind w:left="720" w:hanging="720"/>
      </w:pPr>
      <w:r>
        <w:rPr>
          <w:rFonts w:ascii="Times New Roman" w:hAnsi="Times New Roman" w:eastAsia="標楷體" w:cs="標楷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Times New Roman" w:hAnsi="Times New Roman" w:eastAsia="標楷體" w:cs="標楷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Times New Roman" w:hAnsi="Times New Roman" w:eastAsia="標楷體" w:cs="標楷體"/>
          <w:sz w:val="24"/>
        </w:rPr>
        <w:t xml:space="preserve">Pinheiro, J. C., &amp; Bates, D. M. (2000). Mixed-Effects Models in S and S-PLUS. Springer.</w:t>
      </w:r>
    </w:p>
    <w:p>
      <w:pPr>
        <w:spacing w:after="120"/>
        <w:ind w:left="720" w:hanging="720"/>
      </w:pPr>
      <w:r>
        <w:rPr>
          <w:rFonts w:ascii="Times New Roman" w:hAnsi="Times New Roman" w:eastAsia="標楷體" w:cs="標楷體"/>
          <w:sz w:val="24"/>
        </w:rPr>
        <w:t xml:space="preserve">Porter, M. E., &amp; Kramer, M. R. (2011). Creating shared value. Harvard Business Review, 89(1/2), 62–77.</w:t>
      </w:r>
    </w:p>
    <w:p>
      <w:pPr>
        <w:spacing w:after="120"/>
        <w:ind w:left="720" w:hanging="720"/>
      </w:pPr>
      <w:r>
        <w:rPr>
          <w:rFonts w:ascii="Times New Roman" w:hAnsi="Times New Roman" w:eastAsia="標楷體" w:cs="標楷體"/>
          <w:sz w:val="24"/>
        </w:rPr>
        <w:t xml:space="preserve">Weiss, C. H. (1997). Theory-based evaluation: Past, present, and future. New Directions for Evaluation, 76, 41–55. https://doi.org/10.1002/ev.1086</w:t>
      </w:r>
    </w:p>
    <w:p>
      <w:pPr>
        <w:pStyle w:val="Heading1"/>
      </w:pPr>
      <w:bookmarkStart w:id="64" w:name="_Toc10063"/>
      <w:r>
        <w:rPr>
          <w:rFonts w:ascii="Times New Roman" w:hAnsi="Times New Roman" w:eastAsia="標楷體" w:cs="標楷體"/>
          <w:b/>
          <w:sz w:val="32"/>
        </w:rPr>
        <w:t>附錄 B　系統技術部署指南</w:t>
      </w:r>
      <w:bookmarkEnd w:id="64"/>
    </w:p>
    <w:p>
      <w:pPr>
        <w:spacing w:after="120"/>
        <w:ind w:firstLine="480"/>
      </w:pPr>
      <w:r>
        <w:rPr>
          <w:rFonts w:ascii="Times New Roman" w:hAnsi="Times New Roman" w:eastAsia="標楷體" w:cs="標楷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bookmarkStart w:id="65" w:name="_Toc10064"/>
      <w:r>
        <w:rPr>
          <w:rFonts w:ascii="Times New Roman" w:hAnsi="Times New Roman" w:eastAsia="標楷體" w:cs="標楷體"/>
          <w:b/>
          <w:sz w:val="26"/>
        </w:rPr>
        <w:t>B.1　系統部署拓撲</w:t>
      </w:r>
      <w:bookmarkEnd w:id="65"/>
    </w:p>
    <w:p>
      <w:pPr>
        <w:spacing w:after="120"/>
        <w:ind w:firstLine="480"/>
      </w:pPr>
      <w:r>
        <w:rPr>
          <w:rFonts w:ascii="Times New Roman" w:hAnsi="Times New Roman" w:eastAsia="標楷體" w:cs="標楷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Times New Roman" w:hAnsi="Times New Roman" w:eastAsia="標楷體" w:cs="標楷體"/>
                <w:b/>
                <w:sz w:val="22"/>
              </w:rPr>
              <w:t>層級</w:t>
            </w:r>
          </w:p>
        </w:tc>
        <w:tc>
          <w:tcPr>
            <w:tcW w:type="dxa" w:w="2835"/>
          </w:tcPr>
          <w:p>
            <w:pPr>
              <w:jc w:val="center"/>
            </w:pPr>
            <w:r>
              <w:rPr>
                <w:rFonts w:ascii="Times New Roman" w:hAnsi="Times New Roman" w:eastAsia="標楷體" w:cs="標楷體"/>
                <w:b/>
                <w:sz w:val="22"/>
              </w:rPr>
              <w:t>組成元件</w:t>
            </w:r>
          </w:p>
        </w:tc>
        <w:tc>
          <w:tcPr>
            <w:tcW w:type="dxa" w:w="2551"/>
          </w:tcPr>
          <w:p>
            <w:pPr>
              <w:jc w:val="center"/>
            </w:pPr>
            <w:r>
              <w:rPr>
                <w:rFonts w:ascii="Times New Roman" w:hAnsi="Times New Roman" w:eastAsia="標楷體" w:cs="標楷體"/>
                <w:b/>
                <w:sz w:val="22"/>
              </w:rPr>
              <w:t>部署位置</w:t>
            </w:r>
          </w:p>
        </w:tc>
        <w:tc>
          <w:tcPr>
            <w:tcW w:type="dxa" w:w="2835"/>
          </w:tcPr>
          <w:p>
            <w:pPr>
              <w:jc w:val="center"/>
            </w:pPr>
            <w:r>
              <w:rPr>
                <w:rFonts w:ascii="Times New Roman" w:hAnsi="Times New Roman" w:eastAsia="標楷體" w:cs="標楷體"/>
                <w:b/>
                <w:sz w:val="22"/>
              </w:rPr>
              <w:t>主要職責</w:t>
            </w:r>
          </w:p>
        </w:tc>
      </w:tr>
      <w:tr>
        <w:tc>
          <w:tcPr>
            <w:tcW w:type="dxa" w:w="1417"/>
          </w:tcPr>
          <w:p>
            <w:r>
              <w:rPr>
                <w:rFonts w:ascii="Times New Roman" w:hAnsi="Times New Roman" w:eastAsia="標楷體" w:cs="標楷體"/>
                <w:sz w:val="22"/>
              </w:rPr>
              <w:t>使用者端</w:t>
            </w:r>
          </w:p>
        </w:tc>
        <w:tc>
          <w:tcPr>
            <w:tcW w:type="dxa" w:w="2835"/>
          </w:tcPr>
          <w:p>
            <w:r>
              <w:rPr>
                <w:rFonts w:ascii="Times New Roman" w:hAnsi="Times New Roman" w:eastAsia="標楷體" w:cs="標楷體"/>
                <w:sz w:val="22"/>
              </w:rPr>
              <w:t>瀏覽器 / 手機 Web 介面</w:t>
            </w:r>
          </w:p>
        </w:tc>
        <w:tc>
          <w:tcPr>
            <w:tcW w:type="dxa" w:w="2551"/>
          </w:tcPr>
          <w:p>
            <w:r>
              <w:rPr>
                <w:rFonts w:ascii="Times New Roman" w:hAnsi="Times New Roman" w:eastAsia="標楷體" w:cs="標楷體"/>
                <w:sz w:val="22"/>
              </w:rPr>
              <w:t>使用者裝置</w:t>
            </w:r>
          </w:p>
        </w:tc>
        <w:tc>
          <w:tcPr>
            <w:tcW w:type="dxa" w:w="2835"/>
          </w:tcPr>
          <w:p>
            <w:r>
              <w:rPr>
                <w:rFonts w:ascii="Times New Roman" w:hAnsi="Times New Roman" w:eastAsia="標楷體" w:cs="標楷體"/>
                <w:sz w:val="22"/>
              </w:rPr>
              <w:t>影片擷取與結果檢視</w:t>
            </w:r>
          </w:p>
        </w:tc>
      </w:tr>
      <w:tr>
        <w:tc>
          <w:tcPr>
            <w:tcW w:type="dxa" w:w="1417"/>
          </w:tcPr>
          <w:p>
            <w:r>
              <w:rPr>
                <w:rFonts w:ascii="Times New Roman" w:hAnsi="Times New Roman" w:eastAsia="標楷體" w:cs="標楷體"/>
                <w:sz w:val="22"/>
              </w:rPr>
              <w:t>應用層</w:t>
            </w:r>
          </w:p>
        </w:tc>
        <w:tc>
          <w:tcPr>
            <w:tcW w:type="dxa" w:w="2835"/>
          </w:tcPr>
          <w:p>
            <w:r>
              <w:rPr>
                <w:rFonts w:ascii="Times New Roman" w:hAnsi="Times New Roman" w:eastAsia="標楷體" w:cs="標楷體"/>
                <w:sz w:val="22"/>
              </w:rPr>
              <w:t>Node.js / Express / SQLite</w:t>
            </w:r>
          </w:p>
        </w:tc>
        <w:tc>
          <w:tcPr>
            <w:tcW w:type="dxa" w:w="2551"/>
          </w:tcPr>
          <w:p>
            <w:r>
              <w:rPr>
                <w:rFonts w:ascii="Times New Roman" w:hAnsi="Times New Roman" w:eastAsia="標楷體" w:cs="標楷體"/>
                <w:sz w:val="22"/>
              </w:rPr>
              <w:t>本機或雲端 VM</w:t>
            </w:r>
          </w:p>
        </w:tc>
        <w:tc>
          <w:tcPr>
            <w:tcW w:type="dxa" w:w="2835"/>
          </w:tcPr>
          <w:p>
            <w:r>
              <w:rPr>
                <w:rFonts w:ascii="Times New Roman" w:hAnsi="Times New Roman" w:eastAsia="標楷體" w:cs="標楷體"/>
                <w:sz w:val="22"/>
              </w:rPr>
              <w:t>影像解析、DBH 計算、API 整合</w:t>
            </w:r>
          </w:p>
        </w:tc>
      </w:tr>
      <w:tr>
        <w:tc>
          <w:tcPr>
            <w:tcW w:type="dxa" w:w="1417"/>
          </w:tcPr>
          <w:p>
            <w:r>
              <w:rPr>
                <w:rFonts w:ascii="Times New Roman" w:hAnsi="Times New Roman" w:eastAsia="標楷體" w:cs="標楷體"/>
                <w:sz w:val="22"/>
              </w:rPr>
              <w:t>區塊鏈層</w:t>
            </w:r>
          </w:p>
        </w:tc>
        <w:tc>
          <w:tcPr>
            <w:tcW w:type="dxa" w:w="2835"/>
          </w:tcPr>
          <w:p>
            <w:r>
              <w:rPr>
                <w:rFonts w:ascii="Times New Roman" w:hAnsi="Times New Roman" w:eastAsia="標楷體" w:cs="標楷體"/>
                <w:sz w:val="22"/>
              </w:rPr>
              <w:t>Hyperledger Besu（QBFT）×3 節點</w:t>
            </w:r>
          </w:p>
        </w:tc>
        <w:tc>
          <w:tcPr>
            <w:tcW w:type="dxa" w:w="2551"/>
          </w:tcPr>
          <w:p>
            <w:r>
              <w:rPr>
                <w:rFonts w:ascii="Times New Roman" w:hAnsi="Times New Roman" w:eastAsia="標楷體" w:cs="標楷體"/>
                <w:sz w:val="22"/>
              </w:rPr>
              <w:t>GCP（三區域 VM）</w:t>
            </w:r>
          </w:p>
        </w:tc>
        <w:tc>
          <w:tcPr>
            <w:tcW w:type="dxa" w:w="2835"/>
          </w:tcPr>
          <w:p>
            <w:r>
              <w:rPr>
                <w:rFonts w:ascii="Times New Roman" w:hAnsi="Times New Roman" w:eastAsia="標楷體" w:cs="標楷體"/>
                <w:sz w:val="22"/>
              </w:rPr>
              <w:t>碳匯紀錄不可竄改存證</w:t>
            </w:r>
          </w:p>
        </w:tc>
      </w:tr>
    </w:tbl>
    <w:p>
      <w:pPr>
        <w:spacing w:after="120"/>
        <w:ind w:firstLine="480"/>
        <w:jc w:val="center"/>
      </w:pPr>
      <w:r>
        <w:rPr>
          <w:rFonts w:ascii="Times New Roman" w:hAnsi="Times New Roman" w:eastAsia="標楷體" w:cs="標楷體"/>
          <w:sz w:val="24"/>
        </w:rPr>
      </w:r>
      <w:r>
        <w:rPr>
          <w:rFonts w:ascii="Times New Roman" w:hAnsi="Times New Roman" w:eastAsia="標楷體" w:cs="標楷體"/>
        </w:rP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rPr>
          <w:rFonts w:ascii="Times New Roman" w:hAnsi="Times New Roman" w:eastAsia="標楷體" w:cs="標楷體"/>
        </w:rP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rPr>
          <w:rFonts w:ascii="Times New Roman" w:hAnsi="Times New Roman" w:eastAsia="標楷體" w:cs="標楷體"/>
        </w:rPr>
        <w:t>圖 B-1　系統三層部署拓撲示意圖（使用者端 / 應用層 / 區塊鏈層）</w:t>
      </w:r>
    </w:p>
    <w:p>
      <w:pPr>
        <w:pStyle w:val="Heading2"/>
      </w:pPr>
      <w:bookmarkStart w:id="66" w:name="_Toc10065"/>
      <w:r>
        <w:rPr>
          <w:rFonts w:ascii="Times New Roman" w:hAnsi="Times New Roman" w:eastAsia="標楷體" w:cs="標楷體"/>
          <w:b/>
          <w:sz w:val="26"/>
        </w:rPr>
        <w:t>B.2　開發環境前置需求</w:t>
      </w:r>
      <w:bookmarkEnd w:id="66"/>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Times New Roman" w:hAnsi="Times New Roman" w:eastAsia="標楷體" w:cs="標楷體"/>
                <w:b/>
                <w:sz w:val="22"/>
              </w:rPr>
              <w:t>軟體</w:t>
            </w:r>
          </w:p>
        </w:tc>
        <w:tc>
          <w:tcPr>
            <w:tcW w:type="dxa" w:w="1984"/>
          </w:tcPr>
          <w:p>
            <w:pPr>
              <w:jc w:val="center"/>
            </w:pPr>
            <w:r>
              <w:rPr>
                <w:rFonts w:ascii="Times New Roman" w:hAnsi="Times New Roman" w:eastAsia="標楷體" w:cs="標楷體"/>
                <w:b/>
                <w:sz w:val="22"/>
              </w:rPr>
              <w:t>建議版本</w:t>
            </w:r>
          </w:p>
        </w:tc>
        <w:tc>
          <w:tcPr>
            <w:tcW w:type="dxa" w:w="5102"/>
          </w:tcPr>
          <w:p>
            <w:pPr>
              <w:jc w:val="center"/>
            </w:pPr>
            <w:r>
              <w:rPr>
                <w:rFonts w:ascii="Times New Roman" w:hAnsi="Times New Roman" w:eastAsia="標楷體" w:cs="標楷體"/>
                <w:b/>
                <w:sz w:val="22"/>
              </w:rPr>
              <w:t>用途</w:t>
            </w:r>
          </w:p>
        </w:tc>
      </w:tr>
      <w:tr>
        <w:tc>
          <w:tcPr>
            <w:tcW w:type="dxa" w:w="2551"/>
          </w:tcPr>
          <w:p>
            <w:r>
              <w:rPr>
                <w:rFonts w:ascii="Times New Roman" w:hAnsi="Times New Roman" w:eastAsia="標楷體" w:cs="標楷體"/>
                <w:sz w:val="22"/>
              </w:rPr>
              <w:t>Windows</w:t>
            </w:r>
          </w:p>
        </w:tc>
        <w:tc>
          <w:tcPr>
            <w:tcW w:type="dxa" w:w="1984"/>
          </w:tcPr>
          <w:p>
            <w:r>
              <w:rPr>
                <w:rFonts w:ascii="Times New Roman" w:hAnsi="Times New Roman" w:eastAsia="標楷體" w:cs="標楷體"/>
                <w:sz w:val="22"/>
              </w:rPr>
              <w:t>10 / 11</w:t>
            </w:r>
          </w:p>
        </w:tc>
        <w:tc>
          <w:tcPr>
            <w:tcW w:type="dxa" w:w="5102"/>
          </w:tcPr>
          <w:p>
            <w:r>
              <w:rPr>
                <w:rFonts w:ascii="Times New Roman" w:hAnsi="Times New Roman" w:eastAsia="標楷體" w:cs="標楷體"/>
                <w:sz w:val="22"/>
              </w:rPr>
              <w:t>主機作業系統</w:t>
            </w:r>
          </w:p>
        </w:tc>
      </w:tr>
      <w:tr>
        <w:tc>
          <w:tcPr>
            <w:tcW w:type="dxa" w:w="2551"/>
          </w:tcPr>
          <w:p>
            <w:r>
              <w:rPr>
                <w:rFonts w:ascii="Times New Roman" w:hAnsi="Times New Roman" w:eastAsia="標楷體" w:cs="標楷體"/>
                <w:sz w:val="22"/>
              </w:rPr>
              <w:t>WSL2 (Ubuntu)</w:t>
            </w:r>
          </w:p>
        </w:tc>
        <w:tc>
          <w:tcPr>
            <w:tcW w:type="dxa" w:w="1984"/>
          </w:tcPr>
          <w:p>
            <w:r>
              <w:rPr>
                <w:rFonts w:ascii="Times New Roman" w:hAnsi="Times New Roman" w:eastAsia="標楷體" w:cs="標楷體"/>
                <w:sz w:val="22"/>
              </w:rPr>
              <w:t>22.04 LTS</w:t>
            </w:r>
          </w:p>
        </w:tc>
        <w:tc>
          <w:tcPr>
            <w:tcW w:type="dxa" w:w="5102"/>
          </w:tcPr>
          <w:p>
            <w:r>
              <w:rPr>
                <w:rFonts w:ascii="Times New Roman" w:hAnsi="Times New Roman" w:eastAsia="標楷體" w:cs="標楷體"/>
                <w:sz w:val="22"/>
              </w:rPr>
              <w:t>Linux 子系統，供 shell 腳本執行</w:t>
            </w:r>
          </w:p>
        </w:tc>
      </w:tr>
      <w:tr>
        <w:tc>
          <w:tcPr>
            <w:tcW w:type="dxa" w:w="2551"/>
          </w:tcPr>
          <w:p>
            <w:r>
              <w:rPr>
                <w:rFonts w:ascii="Times New Roman" w:hAnsi="Times New Roman" w:eastAsia="標楷體" w:cs="標楷體"/>
                <w:sz w:val="22"/>
              </w:rPr>
              <w:t>Node.js</w:t>
            </w:r>
          </w:p>
        </w:tc>
        <w:tc>
          <w:tcPr>
            <w:tcW w:type="dxa" w:w="1984"/>
          </w:tcPr>
          <w:p>
            <w:r>
              <w:rPr>
                <w:rFonts w:ascii="Times New Roman" w:hAnsi="Times New Roman" w:eastAsia="標楷體" w:cs="標楷體"/>
                <w:sz w:val="22"/>
              </w:rPr>
              <w:t>18 LTS</w:t>
            </w:r>
          </w:p>
        </w:tc>
        <w:tc>
          <w:tcPr>
            <w:tcW w:type="dxa" w:w="5102"/>
          </w:tcPr>
          <w:p>
            <w:r>
              <w:rPr>
                <w:rFonts w:ascii="Times New Roman" w:hAnsi="Times New Roman" w:eastAsia="標楷體" w:cs="標楷體"/>
                <w:sz w:val="22"/>
              </w:rPr>
              <w:t>應用層執行環境</w:t>
            </w:r>
          </w:p>
        </w:tc>
      </w:tr>
      <w:tr>
        <w:tc>
          <w:tcPr>
            <w:tcW w:type="dxa" w:w="2551"/>
          </w:tcPr>
          <w:p>
            <w:r>
              <w:rPr>
                <w:rFonts w:ascii="Times New Roman" w:hAnsi="Times New Roman" w:eastAsia="標楷體" w:cs="標楷體"/>
                <w:sz w:val="22"/>
              </w:rPr>
              <w:t>Docker Desktop</w:t>
            </w:r>
          </w:p>
        </w:tc>
        <w:tc>
          <w:tcPr>
            <w:tcW w:type="dxa" w:w="1984"/>
          </w:tcPr>
          <w:p>
            <w:r>
              <w:rPr>
                <w:rFonts w:ascii="Times New Roman" w:hAnsi="Times New Roman" w:eastAsia="標楷體" w:cs="標楷體"/>
                <w:sz w:val="22"/>
              </w:rPr>
              <w:t>4.30+</w:t>
            </w:r>
          </w:p>
        </w:tc>
        <w:tc>
          <w:tcPr>
            <w:tcW w:type="dxa" w:w="5102"/>
          </w:tcPr>
          <w:p>
            <w:r>
              <w:rPr>
                <w:rFonts w:ascii="Times New Roman" w:hAnsi="Times New Roman" w:eastAsia="標楷體" w:cs="標楷體"/>
                <w:sz w:val="22"/>
              </w:rPr>
              <w:t>本地容器化測試（選用）</w:t>
            </w:r>
          </w:p>
        </w:tc>
      </w:tr>
      <w:tr>
        <w:tc>
          <w:tcPr>
            <w:tcW w:type="dxa" w:w="2551"/>
          </w:tcPr>
          <w:p>
            <w:r>
              <w:rPr>
                <w:rFonts w:ascii="Times New Roman" w:hAnsi="Times New Roman" w:eastAsia="標楷體" w:cs="標楷體"/>
                <w:sz w:val="22"/>
              </w:rPr>
              <w:t>Google Cloud SDK</w:t>
            </w:r>
          </w:p>
        </w:tc>
        <w:tc>
          <w:tcPr>
            <w:tcW w:type="dxa" w:w="1984"/>
          </w:tcPr>
          <w:p>
            <w:r>
              <w:rPr>
                <w:rFonts w:ascii="Times New Roman" w:hAnsi="Times New Roman" w:eastAsia="標楷體" w:cs="標楷體"/>
                <w:sz w:val="22"/>
              </w:rPr>
              <w:t>最新版</w:t>
            </w:r>
          </w:p>
        </w:tc>
        <w:tc>
          <w:tcPr>
            <w:tcW w:type="dxa" w:w="5102"/>
          </w:tcPr>
          <w:p>
            <w:r>
              <w:rPr>
                <w:rFonts w:ascii="Times New Roman" w:hAnsi="Times New Roman" w:eastAsia="標楷體" w:cs="標楷體"/>
                <w:sz w:val="22"/>
              </w:rPr>
              <w:t>GCP 資源管理</w:t>
            </w:r>
          </w:p>
        </w:tc>
      </w:tr>
      <w:tr>
        <w:tc>
          <w:tcPr>
            <w:tcW w:type="dxa" w:w="2551"/>
          </w:tcPr>
          <w:p>
            <w:r>
              <w:rPr>
                <w:rFonts w:ascii="Times New Roman" w:hAnsi="Times New Roman" w:eastAsia="標楷體" w:cs="標楷體"/>
                <w:sz w:val="22"/>
              </w:rPr>
              <w:t>Git</w:t>
            </w:r>
          </w:p>
        </w:tc>
        <w:tc>
          <w:tcPr>
            <w:tcW w:type="dxa" w:w="1984"/>
          </w:tcPr>
          <w:p>
            <w:r>
              <w:rPr>
                <w:rFonts w:ascii="Times New Roman" w:hAnsi="Times New Roman" w:eastAsia="標楷體" w:cs="標楷體"/>
                <w:sz w:val="22"/>
              </w:rPr>
              <w:t>2.40+</w:t>
            </w:r>
          </w:p>
        </w:tc>
        <w:tc>
          <w:tcPr>
            <w:tcW w:type="dxa" w:w="5102"/>
          </w:tcPr>
          <w:p>
            <w:r>
              <w:rPr>
                <w:rFonts w:ascii="Times New Roman" w:hAnsi="Times New Roman" w:eastAsia="標楷體" w:cs="標楷體"/>
                <w:sz w:val="22"/>
              </w:rPr>
              <w:t>版本控制與程式碼取得</w:t>
            </w:r>
          </w:p>
        </w:tc>
      </w:tr>
      <w:tr>
        <w:tc>
          <w:tcPr>
            <w:tcW w:type="dxa" w:w="2551"/>
          </w:tcPr>
          <w:p>
            <w:r>
              <w:rPr>
                <w:rFonts w:ascii="Times New Roman" w:hAnsi="Times New Roman" w:eastAsia="標楷體" w:cs="標楷體"/>
                <w:sz w:val="22"/>
              </w:rPr>
              <w:t>Python</w:t>
            </w:r>
          </w:p>
        </w:tc>
        <w:tc>
          <w:tcPr>
            <w:tcW w:type="dxa" w:w="1984"/>
          </w:tcPr>
          <w:p>
            <w:r>
              <w:rPr>
                <w:rFonts w:ascii="Times New Roman" w:hAnsi="Times New Roman" w:eastAsia="標楷體" w:cs="標楷體"/>
                <w:sz w:val="22"/>
              </w:rPr>
              <w:t>3.10+</w:t>
            </w:r>
          </w:p>
        </w:tc>
        <w:tc>
          <w:tcPr>
            <w:tcW w:type="dxa" w:w="5102"/>
          </w:tcPr>
          <w:p>
            <w:r>
              <w:rPr>
                <w:rFonts w:ascii="Times New Roman" w:hAnsi="Times New Roman" w:eastAsia="標楷體" w:cs="標楷體"/>
                <w:sz w:val="22"/>
              </w:rPr>
              <w:t>輔助腳本（如 python-docx 文件產出）</w:t>
            </w:r>
          </w:p>
        </w:tc>
      </w:tr>
    </w:tbl>
    <w:p>
      <w:pPr>
        <w:spacing w:before="160" w:after="80"/>
      </w:pPr>
      <w:r>
        <w:rPr>
          <w:rFonts w:ascii="Times New Roman" w:hAnsi="Times New Roman" w:eastAsia="標楷體" w:cs="標楷體"/>
          <w:b/>
          <w:sz w:val="24"/>
        </w:rPr>
        <w:t>B.2.1　WSL2 安裝</w:t>
      </w:r>
    </w:p>
    <w:p>
      <w:pPr>
        <w:spacing w:after="120"/>
        <w:ind w:firstLine="480"/>
      </w:pPr>
      <w:r>
        <w:rPr>
          <w:rFonts w:ascii="Times New Roman" w:hAnsi="Times New Roman" w:eastAsia="標楷體" w:cs="標楷體"/>
          <w:sz w:val="24"/>
        </w:rPr>
        <w:t>以系統管理員身分開啟 PowerShell 執行下列命令：</w:t>
      </w:r>
    </w:p>
    <w:p>
      <w:pPr>
        <w:shd w:val="clear" w:color="auto" w:fill="F2F2F2"/>
        <w:spacing w:after="80"/>
        <w:ind w:left="480"/>
      </w:pPr>
      <w:r>
        <w:rPr>
          <w:rFonts w:ascii="Times New Roman" w:hAnsi="Times New Roman" w:eastAsia="標楷體" w:cs="標楷體"/>
          <w:sz w:val="20"/>
        </w:rPr>
        <w:t>wsl --install -d Ubuntu-22.04</w:t>
      </w:r>
    </w:p>
    <w:p>
      <w:pPr>
        <w:spacing w:after="120"/>
        <w:ind w:firstLine="480"/>
      </w:pPr>
      <w:r>
        <w:rPr>
          <w:rFonts w:ascii="Times New Roman" w:hAnsi="Times New Roman" w:eastAsia="標楷體" w:cs="標楷體"/>
          <w:sz w:val="24"/>
        </w:rPr>
        <w:t>安裝完成後重新啟動電腦，首次進入 Ubuntu 終端機時設定 UNIX 使用者名稱與密碼，即完成 WSL2 環境建置。</w:t>
      </w:r>
    </w:p>
    <w:p>
      <w:pPr>
        <w:spacing w:before="160" w:after="80"/>
      </w:pPr>
      <w:r>
        <w:rPr>
          <w:rFonts w:ascii="Times New Roman" w:hAnsi="Times New Roman" w:eastAsia="標楷體" w:cs="標楷體"/>
          <w:b/>
          <w:sz w:val="24"/>
        </w:rPr>
        <w:t>B.2.2　Node.js 安裝</w:t>
      </w:r>
    </w:p>
    <w:p>
      <w:pPr>
        <w:spacing w:after="120"/>
        <w:ind w:firstLine="480"/>
      </w:pPr>
      <w:r>
        <w:rPr>
          <w:rFonts w:ascii="Times New Roman" w:hAnsi="Times New Roman" w:eastAsia="標楷體" w:cs="標楷體"/>
          <w:sz w:val="24"/>
        </w:rPr>
        <w:t>建議使用 Node Version Manager（nvm）以利於多版本切換：</w:t>
      </w:r>
    </w:p>
    <w:p>
      <w:pPr>
        <w:shd w:val="clear" w:color="auto" w:fill="F2F2F2"/>
        <w:spacing w:after="80"/>
        <w:ind w:left="480"/>
      </w:pPr>
      <w:r>
        <w:rPr>
          <w:rFonts w:ascii="Times New Roman" w:hAnsi="Times New Roman" w:eastAsia="標楷體" w:cs="標楷體"/>
          <w:sz w:val="20"/>
        </w:rPr>
        <w:t>curl -o- https://raw.githubusercontent.com/nvm-sh/nvm/v0.39.7/install.sh | bash</w:t>
        <w:br/>
        <w:t>source ~/.bashrc</w:t>
        <w:br/>
        <w:t>nvm install 18</w:t>
        <w:br/>
        <w:t>nvm use 18</w:t>
      </w:r>
    </w:p>
    <w:p>
      <w:pPr>
        <w:spacing w:after="120"/>
        <w:ind w:firstLine="480"/>
      </w:pPr>
      <w:r>
        <w:rPr>
          <w:rFonts w:ascii="Times New Roman" w:hAnsi="Times New Roman" w:eastAsia="標楷體" w:cs="標楷體"/>
          <w:sz w:val="24"/>
        </w:rPr>
        <w:t>驗證安裝：</w:t>
      </w:r>
    </w:p>
    <w:p>
      <w:pPr>
        <w:shd w:val="clear" w:color="auto" w:fill="F2F2F2"/>
        <w:spacing w:after="80"/>
        <w:ind w:left="480"/>
      </w:pPr>
      <w:r>
        <w:rPr>
          <w:rFonts w:ascii="Times New Roman" w:hAnsi="Times New Roman" w:eastAsia="標楷體" w:cs="標楷體"/>
          <w:sz w:val="20"/>
        </w:rPr>
        <w:t>node -v   # v18.x.x</w:t>
        <w:br/>
        <w:t>npm -v    # 10.x.x</w:t>
      </w:r>
    </w:p>
    <w:p>
      <w:pPr>
        <w:spacing w:before="160" w:after="80"/>
      </w:pPr>
      <w:r>
        <w:rPr>
          <w:rFonts w:ascii="Times New Roman" w:hAnsi="Times New Roman" w:eastAsia="標楷體" w:cs="標楷體"/>
          <w:b/>
          <w:sz w:val="24"/>
        </w:rPr>
        <w:t>B.2.3　Google Cloud SDK 安裝與授權</w:t>
      </w:r>
    </w:p>
    <w:p>
      <w:pPr>
        <w:spacing w:after="120"/>
        <w:ind w:firstLine="480"/>
      </w:pPr>
      <w:r>
        <w:rPr>
          <w:rFonts w:ascii="Times New Roman" w:hAnsi="Times New Roman" w:eastAsia="標楷體" w:cs="標楷體"/>
          <w:sz w:val="24"/>
        </w:rPr>
        <w:t>至 Google 官方頁面下載 Cloud SDK 安裝程式，安裝完成後執行下列命令完成帳號授權與專案綁定：</w:t>
      </w:r>
    </w:p>
    <w:p>
      <w:pPr>
        <w:shd w:val="clear" w:color="auto" w:fill="F2F2F2"/>
        <w:spacing w:after="80"/>
        <w:ind w:left="480"/>
      </w:pPr>
      <w:r>
        <w:rPr>
          <w:rFonts w:ascii="Times New Roman" w:hAnsi="Times New Roman" w:eastAsia="標楷體" w:cs="標楷體"/>
          <w:sz w:val="20"/>
        </w:rPr>
        <w:t>gcloud auth login</w:t>
        <w:br/>
        <w:t>gcloud config set project level-up-374308</w:t>
      </w:r>
    </w:p>
    <w:p>
      <w:pPr>
        <w:spacing w:after="120"/>
        <w:ind w:firstLine="480"/>
      </w:pPr>
      <w:r>
        <w:rPr>
          <w:rFonts w:ascii="Times New Roman" w:hAnsi="Times New Roman" w:eastAsia="標楷體" w:cs="標楷體"/>
          <w:sz w:val="24"/>
        </w:rPr>
        <w:t>本機 SSH 金鑰需上傳至 GCP Metadata，日後即可透過 OpenSSH 直接連入 VM：</w:t>
      </w:r>
    </w:p>
    <w:p>
      <w:pPr>
        <w:shd w:val="clear" w:color="auto" w:fill="F2F2F2"/>
        <w:spacing w:after="80"/>
        <w:ind w:left="480"/>
      </w:pPr>
      <w:r>
        <w:rPr>
          <w:rFonts w:ascii="Times New Roman" w:hAnsi="Times New Roman" w:eastAsia="標楷體" w:cs="標楷體"/>
          <w:sz w:val="20"/>
        </w:rPr>
        <w:t>gcloud compute config-ssh</w:t>
        <w:br/>
        <w:t>ssh besu-bootnode.us-east1-b.level-up-374308</w:t>
      </w:r>
    </w:p>
    <w:p>
      <w:pPr>
        <w:pStyle w:val="Heading2"/>
      </w:pPr>
      <w:bookmarkStart w:id="67" w:name="_Toc10066"/>
      <w:r>
        <w:rPr>
          <w:rFonts w:ascii="Times New Roman" w:hAnsi="Times New Roman" w:eastAsia="標楷體" w:cs="標楷體"/>
          <w:b/>
          <w:sz w:val="26"/>
        </w:rPr>
        <w:t>B.3　影片量測系統部署（forest-carbon-measurement）</w:t>
      </w:r>
      <w:bookmarkEnd w:id="67"/>
    </w:p>
    <w:p>
      <w:pPr>
        <w:spacing w:before="160" w:after="80"/>
      </w:pPr>
      <w:r>
        <w:rPr>
          <w:rFonts w:ascii="Times New Roman" w:hAnsi="Times New Roman" w:eastAsia="標楷體" w:cs="標楷體"/>
          <w:b/>
          <w:sz w:val="24"/>
        </w:rPr>
        <w:t>B.3.1　取得程式碼與相依套件</w:t>
      </w:r>
    </w:p>
    <w:p>
      <w:pPr>
        <w:shd w:val="clear" w:color="auto" w:fill="F2F2F2"/>
        <w:spacing w:after="80"/>
        <w:ind w:left="480"/>
      </w:pPr>
      <w:r>
        <w:rPr>
          <w:rFonts w:ascii="Times New Roman" w:hAnsi="Times New Roman" w:eastAsia="標楷體" w:cs="標楷體"/>
          <w:sz w:val="20"/>
        </w:rPr>
        <w:t>git clone https://github.com/Yuchiaoniu/forest-carbon-measurement.git</w:t>
        <w:br/>
        <w:t>cd forest-carbon-measurement</w:t>
        <w:br/>
        <w:t>npm install</w:t>
      </w:r>
    </w:p>
    <w:p>
      <w:pPr>
        <w:spacing w:after="120"/>
        <w:ind w:firstLine="480"/>
      </w:pPr>
      <w:r>
        <w:rPr>
          <w:rFonts w:ascii="Times New Roman" w:hAnsi="Times New Roman" w:eastAsia="標楷體" w:cs="標楷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Times New Roman" w:hAnsi="Times New Roman" w:eastAsia="標楷體" w:cs="標楷體"/>
          <w:b/>
          <w:sz w:val="24"/>
        </w:rPr>
        <w:t>B.3.2　環境變數設定（.env）</w:t>
      </w:r>
    </w:p>
    <w:p>
      <w:pPr>
        <w:spacing w:after="120"/>
        <w:ind w:firstLine="480"/>
      </w:pPr>
      <w:r>
        <w:rPr>
          <w:rFonts w:ascii="Times New Roman" w:hAnsi="Times New Roman" w:eastAsia="標楷體" w:cs="標楷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Times New Roman" w:hAnsi="Times New Roman" w:eastAsia="標楷體" w:cs="標楷體"/>
                <w:b/>
                <w:sz w:val="22"/>
              </w:rPr>
              <w:t>變數名稱</w:t>
            </w:r>
          </w:p>
        </w:tc>
        <w:tc>
          <w:tcPr>
            <w:tcW w:type="dxa" w:w="3402"/>
          </w:tcPr>
          <w:p>
            <w:pPr>
              <w:jc w:val="center"/>
            </w:pPr>
            <w:r>
              <w:rPr>
                <w:rFonts w:ascii="Times New Roman" w:hAnsi="Times New Roman" w:eastAsia="標楷體" w:cs="標楷體"/>
                <w:b/>
                <w:sz w:val="22"/>
              </w:rPr>
              <w:t>說明</w:t>
            </w:r>
          </w:p>
        </w:tc>
        <w:tc>
          <w:tcPr>
            <w:tcW w:type="dxa" w:w="3969"/>
          </w:tcPr>
          <w:p>
            <w:pPr>
              <w:jc w:val="center"/>
            </w:pPr>
            <w:r>
              <w:rPr>
                <w:rFonts w:ascii="Times New Roman" w:hAnsi="Times New Roman" w:eastAsia="標楷體" w:cs="標楷體"/>
                <w:b/>
                <w:sz w:val="22"/>
              </w:rPr>
              <w:t>範例</w:t>
            </w:r>
          </w:p>
        </w:tc>
      </w:tr>
      <w:tr>
        <w:tc>
          <w:tcPr>
            <w:tcW w:type="dxa" w:w="2268"/>
          </w:tcPr>
          <w:p>
            <w:r>
              <w:rPr>
                <w:rFonts w:ascii="Times New Roman" w:hAnsi="Times New Roman" w:eastAsia="標楷體" w:cs="標楷體"/>
                <w:sz w:val="22"/>
              </w:rPr>
              <w:t>GEMINI_API_KEY</w:t>
            </w:r>
          </w:p>
        </w:tc>
        <w:tc>
          <w:tcPr>
            <w:tcW w:type="dxa" w:w="3402"/>
          </w:tcPr>
          <w:p>
            <w:r>
              <w:rPr>
                <w:rFonts w:ascii="Times New Roman" w:hAnsi="Times New Roman" w:eastAsia="標楷體" w:cs="標楷體"/>
                <w:sz w:val="22"/>
              </w:rPr>
              <w:t>Google Generative AI 金鑰</w:t>
            </w:r>
          </w:p>
        </w:tc>
        <w:tc>
          <w:tcPr>
            <w:tcW w:type="dxa" w:w="3969"/>
          </w:tcPr>
          <w:p>
            <w:r>
              <w:rPr>
                <w:rFonts w:ascii="Times New Roman" w:hAnsi="Times New Roman" w:eastAsia="標楷體" w:cs="標楷體"/>
                <w:sz w:val="22"/>
              </w:rPr>
              <w:t>AIzaSyXXXXXXXX</w:t>
            </w:r>
          </w:p>
        </w:tc>
      </w:tr>
      <w:tr>
        <w:tc>
          <w:tcPr>
            <w:tcW w:type="dxa" w:w="2268"/>
          </w:tcPr>
          <w:p>
            <w:r>
              <w:rPr>
                <w:rFonts w:ascii="Times New Roman" w:hAnsi="Times New Roman" w:eastAsia="標楷體" w:cs="標楷體"/>
                <w:sz w:val="22"/>
              </w:rPr>
              <w:t>BLOCKCHAIN_RPC_URL</w:t>
            </w:r>
          </w:p>
        </w:tc>
        <w:tc>
          <w:tcPr>
            <w:tcW w:type="dxa" w:w="3402"/>
          </w:tcPr>
          <w:p>
            <w:r>
              <w:rPr>
                <w:rFonts w:ascii="Times New Roman" w:hAnsi="Times New Roman" w:eastAsia="標楷體" w:cs="標楷體"/>
                <w:sz w:val="22"/>
              </w:rPr>
              <w:t>Besu 節點 HTTP-RPC 端點</w:t>
            </w:r>
          </w:p>
        </w:tc>
        <w:tc>
          <w:tcPr>
            <w:tcW w:type="dxa" w:w="3969"/>
          </w:tcPr>
          <w:p>
            <w:r>
              <w:rPr>
                <w:rFonts w:ascii="Times New Roman" w:hAnsi="Times New Roman" w:eastAsia="標楷體" w:cs="標楷體"/>
                <w:sz w:val="22"/>
              </w:rPr>
              <w:t>http://35.227.93.38:8545</w:t>
            </w:r>
          </w:p>
        </w:tc>
      </w:tr>
      <w:tr>
        <w:tc>
          <w:tcPr>
            <w:tcW w:type="dxa" w:w="2268"/>
          </w:tcPr>
          <w:p>
            <w:r>
              <w:rPr>
                <w:rFonts w:ascii="Times New Roman" w:hAnsi="Times New Roman" w:eastAsia="標楷體" w:cs="標楷體"/>
                <w:sz w:val="22"/>
              </w:rPr>
              <w:t>CHAIN_ID</w:t>
            </w:r>
          </w:p>
        </w:tc>
        <w:tc>
          <w:tcPr>
            <w:tcW w:type="dxa" w:w="3402"/>
          </w:tcPr>
          <w:p>
            <w:r>
              <w:rPr>
                <w:rFonts w:ascii="Times New Roman" w:hAnsi="Times New Roman" w:eastAsia="標楷體" w:cs="標楷體"/>
                <w:sz w:val="22"/>
              </w:rPr>
              <w:t>私鏈 Chain ID</w:t>
            </w:r>
          </w:p>
        </w:tc>
        <w:tc>
          <w:tcPr>
            <w:tcW w:type="dxa" w:w="3969"/>
          </w:tcPr>
          <w:p>
            <w:r>
              <w:rPr>
                <w:rFonts w:ascii="Times New Roman" w:hAnsi="Times New Roman" w:eastAsia="標楷體" w:cs="標楷體"/>
                <w:sz w:val="22"/>
              </w:rPr>
              <w:t>1337</w:t>
            </w:r>
          </w:p>
        </w:tc>
      </w:tr>
      <w:tr>
        <w:tc>
          <w:tcPr>
            <w:tcW w:type="dxa" w:w="2268"/>
          </w:tcPr>
          <w:p>
            <w:r>
              <w:rPr>
                <w:rFonts w:ascii="Times New Roman" w:hAnsi="Times New Roman" w:eastAsia="標楷體" w:cs="標楷體"/>
                <w:sz w:val="22"/>
              </w:rPr>
              <w:t>CONTRACT_ADDRESS</w:t>
            </w:r>
          </w:p>
        </w:tc>
        <w:tc>
          <w:tcPr>
            <w:tcW w:type="dxa" w:w="3402"/>
          </w:tcPr>
          <w:p>
            <w:r>
              <w:rPr>
                <w:rFonts w:ascii="Times New Roman" w:hAnsi="Times New Roman" w:eastAsia="標楷體" w:cs="標楷體"/>
                <w:sz w:val="22"/>
              </w:rPr>
              <w:t>智能合約地址（部署後填入）</w:t>
            </w:r>
          </w:p>
        </w:tc>
        <w:tc>
          <w:tcPr>
            <w:tcW w:type="dxa" w:w="3969"/>
          </w:tcPr>
          <w:p>
            <w:r>
              <w:rPr>
                <w:rFonts w:ascii="Times New Roman" w:hAnsi="Times New Roman" w:eastAsia="標楷體" w:cs="標楷體"/>
                <w:sz w:val="22"/>
              </w:rPr>
              <w:t>0xABC...</w:t>
            </w:r>
          </w:p>
        </w:tc>
      </w:tr>
      <w:tr>
        <w:tc>
          <w:tcPr>
            <w:tcW w:type="dxa" w:w="2268"/>
          </w:tcPr>
          <w:p>
            <w:r>
              <w:rPr>
                <w:rFonts w:ascii="Times New Roman" w:hAnsi="Times New Roman" w:eastAsia="標楷體" w:cs="標楷體"/>
                <w:sz w:val="22"/>
              </w:rPr>
              <w:t>PRIVATE_KEY</w:t>
            </w:r>
          </w:p>
        </w:tc>
        <w:tc>
          <w:tcPr>
            <w:tcW w:type="dxa" w:w="3402"/>
          </w:tcPr>
          <w:p>
            <w:r>
              <w:rPr>
                <w:rFonts w:ascii="Times New Roman" w:hAnsi="Times New Roman" w:eastAsia="標楷體" w:cs="標楷體"/>
                <w:sz w:val="22"/>
              </w:rPr>
              <w:t>簽署交易之測試帳號私鑰</w:t>
            </w:r>
          </w:p>
        </w:tc>
        <w:tc>
          <w:tcPr>
            <w:tcW w:type="dxa" w:w="3969"/>
          </w:tcPr>
          <w:p>
            <w:r>
              <w:rPr>
                <w:rFonts w:ascii="Times New Roman" w:hAnsi="Times New Roman" w:eastAsia="標楷體" w:cs="標楷體"/>
                <w:sz w:val="22"/>
              </w:rPr>
              <w:t>0xac0974...（funded 帳號）</w:t>
            </w:r>
          </w:p>
        </w:tc>
      </w:tr>
      <w:tr>
        <w:tc>
          <w:tcPr>
            <w:tcW w:type="dxa" w:w="2268"/>
          </w:tcPr>
          <w:p>
            <w:r>
              <w:rPr>
                <w:rFonts w:ascii="Times New Roman" w:hAnsi="Times New Roman" w:eastAsia="標楷體" w:cs="標楷體"/>
                <w:sz w:val="22"/>
              </w:rPr>
              <w:t>PORT</w:t>
            </w:r>
          </w:p>
        </w:tc>
        <w:tc>
          <w:tcPr>
            <w:tcW w:type="dxa" w:w="3402"/>
          </w:tcPr>
          <w:p>
            <w:r>
              <w:rPr>
                <w:rFonts w:ascii="Times New Roman" w:hAnsi="Times New Roman" w:eastAsia="標楷體" w:cs="標楷體"/>
                <w:sz w:val="22"/>
              </w:rPr>
              <w:t>Web 服務埠號</w:t>
            </w:r>
          </w:p>
        </w:tc>
        <w:tc>
          <w:tcPr>
            <w:tcW w:type="dxa" w:w="3969"/>
          </w:tcPr>
          <w:p>
            <w:r>
              <w:rPr>
                <w:rFonts w:ascii="Times New Roman" w:hAnsi="Times New Roman" w:eastAsia="標楷體" w:cs="標楷體"/>
                <w:sz w:val="22"/>
              </w:rPr>
              <w:t>3000</w:t>
            </w:r>
          </w:p>
        </w:tc>
      </w:tr>
    </w:tbl>
    <w:p>
      <w:pPr>
        <w:spacing w:before="160" w:after="80"/>
      </w:pPr>
      <w:r>
        <w:rPr>
          <w:rFonts w:ascii="Times New Roman" w:hAnsi="Times New Roman" w:eastAsia="標楷體" w:cs="標楷體"/>
          <w:b/>
          <w:sz w:val="24"/>
        </w:rPr>
        <w:t>B.3.3　智能合約部署</w:t>
      </w:r>
    </w:p>
    <w:p>
      <w:pPr>
        <w:spacing w:after="120"/>
        <w:ind w:firstLine="480"/>
      </w:pPr>
      <w:r>
        <w:rPr>
          <w:rFonts w:ascii="Times New Roman" w:hAnsi="Times New Roman" w:eastAsia="標楷體" w:cs="標楷體"/>
          <w:sz w:val="24"/>
        </w:rPr>
        <w:t>碳匯紀錄合約位於 contracts/CarbonCredit.sol，透過下列命令編譯並部署至 Besu 私鏈：</w:t>
      </w:r>
    </w:p>
    <w:p>
      <w:pPr>
        <w:shd w:val="clear" w:color="auto" w:fill="F2F2F2"/>
        <w:spacing w:after="80"/>
        <w:ind w:left="480"/>
      </w:pPr>
      <w:r>
        <w:rPr>
          <w:rFonts w:ascii="Times New Roman" w:hAnsi="Times New Roman" w:eastAsia="標楷體" w:cs="標楷體"/>
          <w:sz w:val="20"/>
        </w:rPr>
        <w:t>npm run deploy   # 執行 scripts/deploy.js</w:t>
      </w:r>
    </w:p>
    <w:p>
      <w:pPr>
        <w:spacing w:after="120"/>
        <w:ind w:firstLine="480"/>
      </w:pPr>
      <w:r>
        <w:rPr>
          <w:rFonts w:ascii="Times New Roman" w:hAnsi="Times New Roman" w:eastAsia="標楷體" w:cs="標楷體"/>
          <w:sz w:val="24"/>
        </w:rPr>
        <w:t>部署完成後將輸出合約地址，請手動更新至 .env 之 CONTRACT_ADDRESS 變數。</w:t>
      </w:r>
    </w:p>
    <w:p>
      <w:pPr>
        <w:spacing w:before="160" w:after="80"/>
      </w:pPr>
      <w:r>
        <w:rPr>
          <w:rFonts w:ascii="Times New Roman" w:hAnsi="Times New Roman" w:eastAsia="標楷體" w:cs="標楷體"/>
          <w:b/>
          <w:sz w:val="24"/>
        </w:rPr>
        <w:t>B.3.4　啟動 Web 服務</w:t>
      </w:r>
    </w:p>
    <w:p>
      <w:pPr>
        <w:shd w:val="clear" w:color="auto" w:fill="F2F2F2"/>
        <w:spacing w:after="80"/>
        <w:ind w:left="480"/>
      </w:pPr>
      <w:r>
        <w:rPr>
          <w:rFonts w:ascii="Times New Roman" w:hAnsi="Times New Roman" w:eastAsia="標楷體" w:cs="標楷體"/>
          <w:sz w:val="20"/>
        </w:rPr>
        <w:t>npm start</w:t>
      </w:r>
    </w:p>
    <w:p>
      <w:pPr>
        <w:spacing w:after="120"/>
        <w:ind w:firstLine="480"/>
      </w:pPr>
      <w:r>
        <w:rPr>
          <w:rFonts w:ascii="Times New Roman" w:hAnsi="Times New Roman" w:eastAsia="標楷體" w:cs="標楷體"/>
          <w:sz w:val="24"/>
        </w:rPr>
        <w:t>預設於 http://localhost:3000 啟動。若 3000 埠被占用，server.js 會自動嘗試後續埠號（3001、3002…），實際運作埠號請參閱 server.log 之首行輸出。</w:t>
      </w:r>
    </w:p>
    <w:p>
      <w:pPr>
        <w:pStyle w:val="Heading2"/>
      </w:pPr>
      <w:bookmarkStart w:id="68" w:name="_Toc10067"/>
      <w:r>
        <w:rPr>
          <w:rFonts w:ascii="Times New Roman" w:hAnsi="Times New Roman" w:eastAsia="標楷體" w:cs="標楷體"/>
          <w:b/>
          <w:sz w:val="26"/>
        </w:rPr>
        <w:t>B.4　Hyperledger Besu 企業私鏈部署（GCP）</w:t>
      </w:r>
      <w:bookmarkEnd w:id="68"/>
    </w:p>
    <w:p>
      <w:pPr>
        <w:spacing w:after="120"/>
        <w:ind w:firstLine="480"/>
      </w:pPr>
      <w:r>
        <w:rPr>
          <w:rFonts w:ascii="Times New Roman" w:hAnsi="Times New Roman" w:eastAsia="標楷體" w:cs="標楷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Times New Roman" w:hAnsi="Times New Roman" w:eastAsia="標楷體" w:cs="標楷體"/>
                <w:b/>
                <w:sz w:val="22"/>
              </w:rPr>
              <w:t>節點名稱</w:t>
            </w:r>
          </w:p>
        </w:tc>
        <w:tc>
          <w:tcPr>
            <w:tcW w:type="dxa" w:w="1984"/>
          </w:tcPr>
          <w:p>
            <w:pPr>
              <w:jc w:val="center"/>
            </w:pPr>
            <w:r>
              <w:rPr>
                <w:rFonts w:ascii="Times New Roman" w:hAnsi="Times New Roman" w:eastAsia="標楷體" w:cs="標楷體"/>
                <w:b/>
                <w:sz w:val="22"/>
              </w:rPr>
              <w:t>Zone</w:t>
            </w:r>
          </w:p>
        </w:tc>
        <w:tc>
          <w:tcPr>
            <w:tcW w:type="dxa" w:w="1984"/>
          </w:tcPr>
          <w:p>
            <w:pPr>
              <w:jc w:val="center"/>
            </w:pPr>
            <w:r>
              <w:rPr>
                <w:rFonts w:ascii="Times New Roman" w:hAnsi="Times New Roman" w:eastAsia="標楷體" w:cs="標楷體"/>
                <w:b/>
                <w:sz w:val="22"/>
              </w:rPr>
              <w:t>Internal IP</w:t>
            </w:r>
          </w:p>
        </w:tc>
        <w:tc>
          <w:tcPr>
            <w:tcW w:type="dxa" w:w="3402"/>
          </w:tcPr>
          <w:p>
            <w:pPr>
              <w:jc w:val="center"/>
            </w:pPr>
            <w:r>
              <w:rPr>
                <w:rFonts w:ascii="Times New Roman" w:hAnsi="Times New Roman" w:eastAsia="標楷體" w:cs="標楷體"/>
                <w:b/>
                <w:sz w:val="22"/>
              </w:rPr>
              <w:t>角色</w:t>
            </w:r>
          </w:p>
        </w:tc>
      </w:tr>
      <w:tr>
        <w:tc>
          <w:tcPr>
            <w:tcW w:type="dxa" w:w="2268"/>
          </w:tcPr>
          <w:p>
            <w:r>
              <w:rPr>
                <w:rFonts w:ascii="Times New Roman" w:hAnsi="Times New Roman" w:eastAsia="標楷體" w:cs="標楷體"/>
                <w:sz w:val="22"/>
              </w:rPr>
              <w:t>besu-bootnode</w:t>
            </w:r>
          </w:p>
        </w:tc>
        <w:tc>
          <w:tcPr>
            <w:tcW w:type="dxa" w:w="1984"/>
          </w:tcPr>
          <w:p>
            <w:r>
              <w:rPr>
                <w:rFonts w:ascii="Times New Roman" w:hAnsi="Times New Roman" w:eastAsia="標楷體" w:cs="標楷體"/>
                <w:sz w:val="22"/>
              </w:rPr>
              <w:t>us-east1-b</w:t>
            </w:r>
          </w:p>
        </w:tc>
        <w:tc>
          <w:tcPr>
            <w:tcW w:type="dxa" w:w="1984"/>
          </w:tcPr>
          <w:p>
            <w:r>
              <w:rPr>
                <w:rFonts w:ascii="Times New Roman" w:hAnsi="Times New Roman" w:eastAsia="標楷體" w:cs="標楷體"/>
                <w:sz w:val="22"/>
              </w:rPr>
              <w:t>10.10.1.2</w:t>
            </w:r>
          </w:p>
        </w:tc>
        <w:tc>
          <w:tcPr>
            <w:tcW w:type="dxa" w:w="3402"/>
          </w:tcPr>
          <w:p>
            <w:r>
              <w:rPr>
                <w:rFonts w:ascii="Times New Roman" w:hAnsi="Times New Roman" w:eastAsia="標楷體" w:cs="標楷體"/>
                <w:sz w:val="22"/>
              </w:rPr>
              <w:t>引導節點（bootnode）</w:t>
            </w:r>
          </w:p>
        </w:tc>
      </w:tr>
      <w:tr>
        <w:tc>
          <w:tcPr>
            <w:tcW w:type="dxa" w:w="2268"/>
          </w:tcPr>
          <w:p>
            <w:r>
              <w:rPr>
                <w:rFonts w:ascii="Times New Roman" w:hAnsi="Times New Roman" w:eastAsia="標楷體" w:cs="標楷體"/>
                <w:sz w:val="22"/>
              </w:rPr>
              <w:t>besu-member-1</w:t>
            </w:r>
          </w:p>
        </w:tc>
        <w:tc>
          <w:tcPr>
            <w:tcW w:type="dxa" w:w="1984"/>
          </w:tcPr>
          <w:p>
            <w:r>
              <w:rPr>
                <w:rFonts w:ascii="Times New Roman" w:hAnsi="Times New Roman" w:eastAsia="標楷體" w:cs="標楷體"/>
                <w:sz w:val="22"/>
              </w:rPr>
              <w:t>us-central1-a</w:t>
            </w:r>
          </w:p>
        </w:tc>
        <w:tc>
          <w:tcPr>
            <w:tcW w:type="dxa" w:w="1984"/>
          </w:tcPr>
          <w:p>
            <w:r>
              <w:rPr>
                <w:rFonts w:ascii="Times New Roman" w:hAnsi="Times New Roman" w:eastAsia="標楷體" w:cs="標楷體"/>
                <w:sz w:val="22"/>
              </w:rPr>
              <w:t>10.10.2.2</w:t>
            </w:r>
          </w:p>
        </w:tc>
        <w:tc>
          <w:tcPr>
            <w:tcW w:type="dxa" w:w="3402"/>
          </w:tcPr>
          <w:p>
            <w:r>
              <w:rPr>
                <w:rFonts w:ascii="Times New Roman" w:hAnsi="Times New Roman" w:eastAsia="標楷體" w:cs="標楷體"/>
                <w:sz w:val="22"/>
              </w:rPr>
              <w:t>驗證節點</w:t>
            </w:r>
          </w:p>
        </w:tc>
      </w:tr>
      <w:tr>
        <w:tc>
          <w:tcPr>
            <w:tcW w:type="dxa" w:w="2268"/>
          </w:tcPr>
          <w:p>
            <w:r>
              <w:rPr>
                <w:rFonts w:ascii="Times New Roman" w:hAnsi="Times New Roman" w:eastAsia="標楷體" w:cs="標楷體"/>
                <w:sz w:val="22"/>
              </w:rPr>
              <w:t>besu-member-2</w:t>
            </w:r>
          </w:p>
        </w:tc>
        <w:tc>
          <w:tcPr>
            <w:tcW w:type="dxa" w:w="1984"/>
          </w:tcPr>
          <w:p>
            <w:r>
              <w:rPr>
                <w:rFonts w:ascii="Times New Roman" w:hAnsi="Times New Roman" w:eastAsia="標楷體" w:cs="標楷體"/>
                <w:sz w:val="22"/>
              </w:rPr>
              <w:t>us-west1-b</w:t>
            </w:r>
          </w:p>
        </w:tc>
        <w:tc>
          <w:tcPr>
            <w:tcW w:type="dxa" w:w="1984"/>
          </w:tcPr>
          <w:p>
            <w:r>
              <w:rPr>
                <w:rFonts w:ascii="Times New Roman" w:hAnsi="Times New Roman" w:eastAsia="標楷體" w:cs="標楷體"/>
                <w:sz w:val="22"/>
              </w:rPr>
              <w:t>10.10.3.2</w:t>
            </w:r>
          </w:p>
        </w:tc>
        <w:tc>
          <w:tcPr>
            <w:tcW w:type="dxa" w:w="3402"/>
          </w:tcPr>
          <w:p>
            <w:r>
              <w:rPr>
                <w:rFonts w:ascii="Times New Roman" w:hAnsi="Times New Roman" w:eastAsia="標楷體" w:cs="標楷體"/>
                <w:sz w:val="22"/>
              </w:rPr>
              <w:t>驗證節點</w:t>
            </w:r>
          </w:p>
        </w:tc>
      </w:tr>
    </w:tbl>
    <w:p>
      <w:pPr>
        <w:spacing w:before="160" w:after="80"/>
      </w:pPr>
      <w:r>
        <w:rPr>
          <w:rFonts w:ascii="Times New Roman" w:hAnsi="Times New Roman" w:eastAsia="標楷體" w:cs="標楷體"/>
          <w:b/>
          <w:sz w:val="24"/>
        </w:rPr>
        <w:t>B.4.1　GCP 基礎設施建置</w:t>
      </w:r>
    </w:p>
    <w:p>
      <w:pPr>
        <w:spacing w:after="120"/>
        <w:ind w:firstLine="480"/>
      </w:pPr>
      <w:r>
        <w:rPr>
          <w:rFonts w:ascii="Times New Roman" w:hAnsi="Times New Roman" w:eastAsia="標楷體" w:cs="標楷體"/>
          <w:sz w:val="24"/>
        </w:rPr>
        <w:t>執行本機端 setup-infra.sh 一次性建立 VPC、防火牆規則、Service Account 與 GCS bucket：</w:t>
      </w:r>
    </w:p>
    <w:p>
      <w:pPr>
        <w:shd w:val="clear" w:color="auto" w:fill="F2F2F2"/>
        <w:spacing w:after="80"/>
        <w:ind w:left="480"/>
      </w:pPr>
      <w:r>
        <w:rPr>
          <w:rFonts w:ascii="Times New Roman" w:hAnsi="Times New Roman" w:eastAsia="標楷體" w:cs="標楷體"/>
          <w:sz w:val="20"/>
        </w:rPr>
        <w:t>cd C:\Users\yuchi\besu-gcp</w:t>
        <w:br/>
        <w:t>bash setup-infra.sh</w:t>
      </w:r>
    </w:p>
    <w:p>
      <w:pPr>
        <w:spacing w:after="120"/>
        <w:ind w:firstLine="480"/>
      </w:pPr>
      <w:r>
        <w:rPr>
          <w:rFonts w:ascii="Times New Roman" w:hAnsi="Times New Roman" w:eastAsia="標楷體" w:cs="標楷體"/>
          <w:sz w:val="24"/>
        </w:rPr>
        <w:t>腳本完成後將輸出下列 GCP 資源：</w:t>
      </w:r>
    </w:p>
    <w:p>
      <w:pPr>
        <w:pStyle w:val="ListBullet"/>
        <w:spacing w:after="40"/>
      </w:pPr>
      <w:r>
        <w:rPr>
          <w:rFonts w:ascii="Times New Roman" w:hAnsi="Times New Roman" w:eastAsia="標楷體" w:cs="標楷體"/>
          <w:sz w:val="24"/>
        </w:rPr>
        <w:t>VPC：besu-vpc（含三區域子網段）</w:t>
      </w:r>
    </w:p>
    <w:p>
      <w:pPr>
        <w:pStyle w:val="ListBullet"/>
        <w:spacing w:after="40"/>
      </w:pPr>
      <w:r>
        <w:rPr>
          <w:rFonts w:ascii="Times New Roman" w:hAnsi="Times New Roman" w:eastAsia="標楷體" w:cs="標楷體"/>
          <w:sz w:val="24"/>
        </w:rPr>
        <w:t>防火牆規則：放行 P2P 30303 與 RPC 8545/8546</w:t>
      </w:r>
    </w:p>
    <w:p>
      <w:pPr>
        <w:pStyle w:val="ListBullet"/>
        <w:spacing w:after="40"/>
      </w:pPr>
      <w:r>
        <w:rPr>
          <w:rFonts w:ascii="Times New Roman" w:hAnsi="Times New Roman" w:eastAsia="標楷體" w:cs="標楷體"/>
          <w:sz w:val="24"/>
        </w:rPr>
        <w:t>Service Account：besu-node-sa@level-up-374308.iam.gserviceaccount.com</w:t>
      </w:r>
    </w:p>
    <w:p>
      <w:pPr>
        <w:pStyle w:val="ListBullet"/>
        <w:spacing w:after="40"/>
      </w:pPr>
      <w:r>
        <w:rPr>
          <w:rFonts w:ascii="Times New Roman" w:hAnsi="Times New Roman" w:eastAsia="標楷體" w:cs="標楷體"/>
          <w:sz w:val="24"/>
        </w:rPr>
        <w:t>GCS bucket：gs://level-up-374308-besu-chain（用於 enode 與 genesis 共享）</w:t>
      </w:r>
    </w:p>
    <w:p>
      <w:pPr>
        <w:spacing w:before="160" w:after="80"/>
      </w:pPr>
      <w:r>
        <w:rPr>
          <w:rFonts w:ascii="Times New Roman" w:hAnsi="Times New Roman" w:eastAsia="標楷體" w:cs="標楷體"/>
          <w:b/>
          <w:sz w:val="24"/>
        </w:rPr>
        <w:t>B.4.2　三節點啟動順序</w:t>
      </w:r>
    </w:p>
    <w:p>
      <w:pPr>
        <w:spacing w:after="120"/>
        <w:ind w:firstLine="480"/>
      </w:pPr>
      <w:r>
        <w:rPr>
          <w:rFonts w:ascii="Times New Roman" w:hAnsi="Times New Roman" w:eastAsia="標楷體" w:cs="標楷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Times New Roman" w:hAnsi="Times New Roman" w:eastAsia="標楷體" w:cs="標楷體"/>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Times New Roman" w:hAnsi="Times New Roman" w:eastAsia="標楷體" w:cs="標楷體"/>
          <w:sz w:val="24"/>
        </w:rPr>
        <w:t>External IP 為臨時性，每次 VM 重啟皆會變動。取得新 IP 後須同步更新影片量測系統 .env 之 BLOCKCHAIN_RPC_URL 變數。</w:t>
      </w:r>
    </w:p>
    <w:p>
      <w:pPr>
        <w:spacing w:before="160" w:after="80"/>
      </w:pPr>
      <w:r>
        <w:rPr>
          <w:rFonts w:ascii="Times New Roman" w:hAnsi="Times New Roman" w:eastAsia="標楷體" w:cs="標楷體"/>
          <w:b/>
          <w:sz w:val="24"/>
        </w:rPr>
        <w:t>B.4.3　節點健康檢查</w:t>
      </w:r>
    </w:p>
    <w:p>
      <w:pPr>
        <w:spacing w:after="120"/>
        <w:ind w:firstLine="480"/>
      </w:pPr>
      <w:r>
        <w:rPr>
          <w:rFonts w:ascii="Times New Roman" w:hAnsi="Times New Roman" w:eastAsia="標楷體" w:cs="標楷體"/>
          <w:sz w:val="24"/>
        </w:rPr>
        <w:t>VM 上預置 ~/check-node.sh 腳本，可一次性回報節點同步狀態。於本機批次執行三節點檢查：</w:t>
      </w:r>
    </w:p>
    <w:p>
      <w:pPr>
        <w:shd w:val="clear" w:color="auto" w:fill="F2F2F2"/>
        <w:spacing w:after="80"/>
        <w:ind w:left="480"/>
      </w:pPr>
      <w:r>
        <w:rPr>
          <w:rFonts w:ascii="Times New Roman" w:hAnsi="Times New Roman" w:eastAsia="標楷體" w:cs="標楷體"/>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Times New Roman" w:hAnsi="Times New Roman" w:eastAsia="標楷體" w:cs="標楷體"/>
          <w:sz w:val="24"/>
        </w:rPr>
        <w:t>預期輸出：peers 數 ≥ 2、blockNumber 持續遞增（每 15 秒 +1）、與 funded 帳號 0xf39F…2266 之餘額為 1,000,000 ETH。</w:t>
      </w:r>
    </w:p>
    <w:p>
      <w:pPr>
        <w:spacing w:before="160" w:after="80"/>
      </w:pPr>
      <w:r>
        <w:rPr>
          <w:rFonts w:ascii="Times New Roman" w:hAnsi="Times New Roman" w:eastAsia="標楷體" w:cs="標楷體"/>
          <w:b/>
          <w:sz w:val="24"/>
        </w:rPr>
        <w:t>B.4.4　鏈上資料查詢</w:t>
      </w:r>
    </w:p>
    <w:p>
      <w:pPr>
        <w:spacing w:after="120"/>
        <w:ind w:firstLine="480"/>
      </w:pPr>
      <w:r>
        <w:rPr>
          <w:rFonts w:ascii="Times New Roman" w:hAnsi="Times New Roman" w:eastAsia="標楷體" w:cs="標楷體"/>
          <w:sz w:val="24"/>
        </w:rPr>
        <w:t>本機腳本 query-tx.sh 與 decode-tx.sh 提供交易層級的查詢與解碼功能：</w:t>
      </w:r>
    </w:p>
    <w:p>
      <w:pPr>
        <w:shd w:val="clear" w:color="auto" w:fill="F2F2F2"/>
        <w:spacing w:after="80"/>
        <w:ind w:left="480"/>
      </w:pPr>
      <w:r>
        <w:rPr>
          <w:rFonts w:ascii="Times New Roman" w:hAnsi="Times New Roman" w:eastAsia="標楷體" w:cs="標楷體"/>
          <w:sz w:val="20"/>
        </w:rPr>
        <w:t>bash query-tx.sh &lt;txHash&gt;     # 取得 transaction receipt</w:t>
        <w:br/>
        <w:t>bash decode-tx.sh &lt;txHash&gt;    # 解碼 recordMeasurement input data</w:t>
      </w:r>
    </w:p>
    <w:p>
      <w:pPr>
        <w:spacing w:after="120"/>
        <w:ind w:firstLine="480"/>
      </w:pPr>
      <w:r>
        <w:rPr>
          <w:rFonts w:ascii="Times New Roman" w:hAnsi="Times New Roman" w:eastAsia="標楷體" w:cs="標楷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bookmarkStart w:id="69" w:name="_Toc10068"/>
      <w:r>
        <w:rPr>
          <w:rFonts w:ascii="Times New Roman" w:hAnsi="Times New Roman" w:eastAsia="標楷體" w:cs="標楷體"/>
          <w:b/>
          <w:sz w:val="26"/>
        </w:rPr>
        <w:t>B.5　維運與排錯</w:t>
      </w:r>
      <w:bookmarkEnd w:id="69"/>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Times New Roman" w:hAnsi="Times New Roman" w:eastAsia="標楷體" w:cs="標楷體"/>
                <w:b/>
                <w:sz w:val="22"/>
              </w:rPr>
              <w:t>情境</w:t>
            </w:r>
          </w:p>
        </w:tc>
        <w:tc>
          <w:tcPr>
            <w:tcW w:type="dxa" w:w="2835"/>
          </w:tcPr>
          <w:p>
            <w:pPr>
              <w:jc w:val="center"/>
            </w:pPr>
            <w:r>
              <w:rPr>
                <w:rFonts w:ascii="Times New Roman" w:hAnsi="Times New Roman" w:eastAsia="標楷體" w:cs="標楷體"/>
                <w:b/>
                <w:sz w:val="22"/>
              </w:rPr>
              <w:t>徵狀</w:t>
            </w:r>
          </w:p>
        </w:tc>
        <w:tc>
          <w:tcPr>
            <w:tcW w:type="dxa" w:w="4252"/>
          </w:tcPr>
          <w:p>
            <w:pPr>
              <w:jc w:val="center"/>
            </w:pPr>
            <w:r>
              <w:rPr>
                <w:rFonts w:ascii="Times New Roman" w:hAnsi="Times New Roman" w:eastAsia="標楷體" w:cs="標楷體"/>
                <w:b/>
                <w:sz w:val="22"/>
              </w:rPr>
              <w:t>處置</w:t>
            </w:r>
          </w:p>
        </w:tc>
      </w:tr>
      <w:tr>
        <w:tc>
          <w:tcPr>
            <w:tcW w:type="dxa" w:w="2551"/>
          </w:tcPr>
          <w:p>
            <w:r>
              <w:rPr>
                <w:rFonts w:ascii="Times New Roman" w:hAnsi="Times New Roman" w:eastAsia="標楷體" w:cs="標楷體"/>
                <w:sz w:val="22"/>
              </w:rPr>
              <w:t>VM 重啟後 RPC 無法連線</w:t>
            </w:r>
          </w:p>
        </w:tc>
        <w:tc>
          <w:tcPr>
            <w:tcW w:type="dxa" w:w="2835"/>
          </w:tcPr>
          <w:p>
            <w:r>
              <w:rPr>
                <w:rFonts w:ascii="Times New Roman" w:hAnsi="Times New Roman" w:eastAsia="標楷體" w:cs="標楷體"/>
                <w:sz w:val="22"/>
              </w:rPr>
              <w:t>應用層 ethers provider 拋出 ECONNREFUSED</w:t>
            </w:r>
          </w:p>
        </w:tc>
        <w:tc>
          <w:tcPr>
            <w:tcW w:type="dxa" w:w="4252"/>
          </w:tcPr>
          <w:p>
            <w:r>
              <w:rPr>
                <w:rFonts w:ascii="Times New Roman" w:hAnsi="Times New Roman" w:eastAsia="標楷體" w:cs="標楷體"/>
                <w:sz w:val="22"/>
              </w:rPr>
              <w:t>執行 gcloud compute instances list 取得新 External IP，更新 .env</w:t>
            </w:r>
          </w:p>
        </w:tc>
      </w:tr>
      <w:tr>
        <w:tc>
          <w:tcPr>
            <w:tcW w:type="dxa" w:w="2551"/>
          </w:tcPr>
          <w:p>
            <w:r>
              <w:rPr>
                <w:rFonts w:ascii="Times New Roman" w:hAnsi="Times New Roman" w:eastAsia="標楷體" w:cs="標楷體"/>
                <w:sz w:val="22"/>
              </w:rPr>
              <w:t>Besu 未自動啟動</w:t>
            </w:r>
          </w:p>
        </w:tc>
        <w:tc>
          <w:tcPr>
            <w:tcW w:type="dxa" w:w="2835"/>
          </w:tcPr>
          <w:p>
            <w:r>
              <w:rPr>
                <w:rFonts w:ascii="Times New Roman" w:hAnsi="Times New Roman" w:eastAsia="標楷體" w:cs="標楷體"/>
                <w:sz w:val="22"/>
              </w:rPr>
              <w:t>check-node.sh 回報 connection refused</w:t>
            </w:r>
          </w:p>
        </w:tc>
        <w:tc>
          <w:tcPr>
            <w:tcW w:type="dxa" w:w="4252"/>
          </w:tcPr>
          <w:p>
            <w:r>
              <w:rPr>
                <w:rFonts w:ascii="Times New Roman" w:hAnsi="Times New Roman" w:eastAsia="標楷體" w:cs="標楷體"/>
                <w:sz w:val="22"/>
              </w:rPr>
              <w:t>SSH 進入 VM 執行 sudo systemctl status besu，必要時 sudo systemctl start besu</w:t>
            </w:r>
          </w:p>
        </w:tc>
      </w:tr>
      <w:tr>
        <w:tc>
          <w:tcPr>
            <w:tcW w:type="dxa" w:w="2551"/>
          </w:tcPr>
          <w:p>
            <w:r>
              <w:rPr>
                <w:rFonts w:ascii="Times New Roman" w:hAnsi="Times New Roman" w:eastAsia="標楷體" w:cs="標楷體"/>
                <w:sz w:val="22"/>
              </w:rPr>
              <w:t>節點 peer 數為 0</w:t>
            </w:r>
          </w:p>
        </w:tc>
        <w:tc>
          <w:tcPr>
            <w:tcW w:type="dxa" w:w="2835"/>
          </w:tcPr>
          <w:p>
            <w:r>
              <w:rPr>
                <w:rFonts w:ascii="Times New Roman" w:hAnsi="Times New Roman" w:eastAsia="標楷體" w:cs="標楷體"/>
                <w:sz w:val="22"/>
              </w:rPr>
              <w:t>blockNumber 停滯不前</w:t>
            </w:r>
          </w:p>
        </w:tc>
        <w:tc>
          <w:tcPr>
            <w:tcW w:type="dxa" w:w="4252"/>
          </w:tcPr>
          <w:p>
            <w:r>
              <w:rPr>
                <w:rFonts w:ascii="Times New Roman" w:hAnsi="Times New Roman" w:eastAsia="標楷體" w:cs="標楷體"/>
                <w:sz w:val="22"/>
              </w:rPr>
              <w:t>確認 enode URL 是否同步：bash ~/get-enode.sh 重新上傳 GCS</w:t>
            </w:r>
          </w:p>
        </w:tc>
      </w:tr>
      <w:tr>
        <w:tc>
          <w:tcPr>
            <w:tcW w:type="dxa" w:w="2551"/>
          </w:tcPr>
          <w:p>
            <w:r>
              <w:rPr>
                <w:rFonts w:ascii="Times New Roman" w:hAnsi="Times New Roman" w:eastAsia="標楷體" w:cs="標楷體"/>
                <w:sz w:val="22"/>
              </w:rPr>
              <w:t>影片上傳逾時</w:t>
            </w:r>
          </w:p>
        </w:tc>
        <w:tc>
          <w:tcPr>
            <w:tcW w:type="dxa" w:w="2835"/>
          </w:tcPr>
          <w:p>
            <w:r>
              <w:rPr>
                <w:rFonts w:ascii="Times New Roman" w:hAnsi="Times New Roman" w:eastAsia="標楷體" w:cs="標楷體"/>
                <w:sz w:val="22"/>
              </w:rPr>
              <w:t>前端顯示 504 Gateway Timeout</w:t>
            </w:r>
          </w:p>
        </w:tc>
        <w:tc>
          <w:tcPr>
            <w:tcW w:type="dxa" w:w="4252"/>
          </w:tcPr>
          <w:p>
            <w:r>
              <w:rPr>
                <w:rFonts w:ascii="Times New Roman" w:hAnsi="Times New Roman" w:eastAsia="標楷體" w:cs="標楷體"/>
                <w:sz w:val="22"/>
              </w:rPr>
              <w:t>檢查 server.log 之 ffmpeg 解析進度，視影片長度調整 multer 上傳上限</w:t>
            </w:r>
          </w:p>
        </w:tc>
      </w:tr>
      <w:tr>
        <w:tc>
          <w:tcPr>
            <w:tcW w:type="dxa" w:w="2551"/>
          </w:tcPr>
          <w:p>
            <w:r>
              <w:rPr>
                <w:rFonts w:ascii="Times New Roman" w:hAnsi="Times New Roman" w:eastAsia="標楷體" w:cs="標楷體"/>
                <w:sz w:val="22"/>
              </w:rPr>
              <w:t>Gemini API 配額用盡</w:t>
            </w:r>
          </w:p>
        </w:tc>
        <w:tc>
          <w:tcPr>
            <w:tcW w:type="dxa" w:w="2835"/>
          </w:tcPr>
          <w:p>
            <w:r>
              <w:rPr>
                <w:rFonts w:ascii="Times New Roman" w:hAnsi="Times New Roman" w:eastAsia="標楷體" w:cs="標楷體"/>
                <w:sz w:val="22"/>
              </w:rPr>
              <w:t>回應 429 Too Many Requests</w:t>
            </w:r>
          </w:p>
        </w:tc>
        <w:tc>
          <w:tcPr>
            <w:tcW w:type="dxa" w:w="4252"/>
          </w:tcPr>
          <w:p>
            <w:r>
              <w:rPr>
                <w:rFonts w:ascii="Times New Roman" w:hAnsi="Times New Roman" w:eastAsia="標楷體" w:cs="標楷體"/>
                <w:sz w:val="22"/>
              </w:rPr>
              <w:t>至 Google AI Studio 確認當日配額，或切換備用金鑰</w:t>
            </w:r>
          </w:p>
        </w:tc>
      </w:tr>
      <w:tr>
        <w:tc>
          <w:tcPr>
            <w:tcW w:type="dxa" w:w="2551"/>
          </w:tcPr>
          <w:p>
            <w:r>
              <w:rPr>
                <w:rFonts w:ascii="Times New Roman" w:hAnsi="Times New Roman" w:eastAsia="標楷體" w:cs="標楷體"/>
                <w:sz w:val="22"/>
              </w:rPr>
              <w:t>SQLite 資料庫鎖定</w:t>
            </w:r>
          </w:p>
        </w:tc>
        <w:tc>
          <w:tcPr>
            <w:tcW w:type="dxa" w:w="2835"/>
          </w:tcPr>
          <w:p>
            <w:r>
              <w:rPr>
                <w:rFonts w:ascii="Times New Roman" w:hAnsi="Times New Roman" w:eastAsia="標楷體" w:cs="標楷體"/>
                <w:sz w:val="22"/>
              </w:rPr>
              <w:t>SQLITE_BUSY 錯誤</w:t>
            </w:r>
          </w:p>
        </w:tc>
        <w:tc>
          <w:tcPr>
            <w:tcW w:type="dxa" w:w="4252"/>
          </w:tcPr>
          <w:p>
            <w:r>
              <w:rPr>
                <w:rFonts w:ascii="Times New Roman" w:hAnsi="Times New Roman" w:eastAsia="標楷體" w:cs="標楷體"/>
                <w:sz w:val="22"/>
              </w:rPr>
              <w:t>確認無其他 process 占用 data.db；必要時刪除 data.db-shm / data.db-wal</w:t>
            </w:r>
          </w:p>
        </w:tc>
      </w:tr>
    </w:tbl>
    <w:p>
      <w:pPr>
        <w:spacing w:after="120"/>
        <w:ind w:firstLine="480"/>
      </w:pPr>
      <w:r>
        <w:rPr>
          <w:rFonts w:ascii="Times New Roman" w:hAnsi="Times New Roman" w:eastAsia="標楷體" w:cs="標楷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Times New Roman" w:hAnsi="Times New Roman" w:eastAsia="標楷體" w:cs="標楷體"/>
          <w:sz w:val="24"/>
        </w:rPr>
        <w:t>本附錄涵蓋此系統從本機開發環境到 GCP 雲端私鏈之完整部署流程。若於部署過程遭遇本附錄未涵蓋之情境，可參考各專案 GitHub Issues 區段或聯繫此專案維護者進行協助。</w:t>
      </w:r>
    </w:p>
    <w:p>
      <w:r>
        <w:rPr>
          <w:rFonts w:ascii="Times New Roman" w:hAnsi="Times New Roman" w:eastAsia="標楷體" w:cs="標楷體"/>
        </w:rPr>
        <w:br w:type="page"/>
      </w:r>
    </w:p>
    <w:p>
      <w:pPr>
        <w:pStyle w:val="Heading1"/>
      </w:pPr>
      <w:bookmarkStart w:id="70" w:name="_Toc10069"/>
      <w:r>
        <w:rPr>
          <w:rFonts w:ascii="Times New Roman" w:hAnsi="Times New Roman" w:eastAsia="標楷體" w:cs="標楷體"/>
          <w:b/>
          <w:sz w:val="24"/>
        </w:rPr>
        <w:t>附錄 C　回饋機制、社區教育與企業私鏈應用規劃</w:t>
      </w:r>
      <w:bookmarkEnd w:id="70"/>
    </w:p>
    <w:p>
      <w:pPr>
        <w:spacing w:after="120"/>
        <w:jc w:val="center"/>
      </w:pPr>
      <w:r>
        <w:rPr>
          <w:rFonts w:ascii="Times New Roman" w:hAnsi="Times New Roman" w:eastAsia="標楷體" w:cs="標楷體"/>
          <w:sz w:val="24"/>
        </w:rPr>
      </w:r>
      <w:r>
        <w:rPr>
          <w:rFonts w:ascii="Times New Roman" w:hAnsi="Times New Roman" w:eastAsia="標楷體" w:cs="標楷體"/>
        </w:rP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rPr>
          <w:rFonts w:ascii="Times New Roman" w:hAnsi="Times New Roman" w:eastAsia="標楷體" w:cs="標楷體"/>
        </w:rP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rPr>
          <w:rFonts w:ascii="Times New Roman" w:hAnsi="Times New Roman" w:eastAsia="標楷體" w:cs="標楷體"/>
        </w:rPr>
        <w:t>圖 C-1　回饋機制「收集—整理—回饋—再造」四步驟迭代循環</w:t>
      </w:r>
    </w:p>
    <w:p>
      <w:pPr>
        <w:pStyle w:val="Heading3"/>
      </w:pPr>
      <w:bookmarkStart w:id="71" w:name="_Toc10070"/>
      <w:r>
        <w:rPr>
          <w:rFonts w:ascii="Times New Roman" w:hAnsi="Times New Roman" w:eastAsia="標楷體" w:cs="標楷體"/>
          <w:b/>
          <w:sz w:val="24"/>
        </w:rPr>
        <w:t>C.1　建立回饋機制</w:t>
      </w:r>
      <w:bookmarkEnd w:id="71"/>
    </w:p>
    <w:p>
      <w:pPr>
        <w:spacing w:after="120"/>
        <w:ind w:firstLine="480"/>
      </w:pPr>
      <w:r>
        <w:rPr>
          <w:rFonts w:ascii="Times New Roman" w:hAnsi="Times New Roman" w:eastAsia="標楷體" w:cs="標楷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bookmarkStart w:id="72" w:name="_Toc10071"/>
      <w:r>
        <w:rPr>
          <w:rFonts w:ascii="Times New Roman" w:hAnsi="Times New Roman" w:eastAsia="標楷體" w:cs="標楷體"/>
          <w:b/>
          <w:sz w:val="24"/>
        </w:rPr>
        <w:t>C.2　社區人力溝通與推廣教育</w:t>
      </w:r>
      <w:bookmarkEnd w:id="72"/>
    </w:p>
    <w:p>
      <w:pPr>
        <w:spacing w:after="120"/>
        <w:ind w:firstLine="480"/>
      </w:pPr>
      <w:r>
        <w:rPr>
          <w:rFonts w:ascii="Times New Roman" w:hAnsi="Times New Roman" w:eastAsia="標楷體" w:cs="標楷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bookmarkStart w:id="73" w:name="_Toc10072"/>
      <w:r>
        <w:rPr>
          <w:rFonts w:ascii="Times New Roman" w:hAnsi="Times New Roman" w:eastAsia="標楷體" w:cs="標楷體"/>
          <w:b/>
          <w:sz w:val="24"/>
        </w:rPr>
        <w:t>C.3　企業私鏈應用規劃</w:t>
      </w:r>
      <w:bookmarkEnd w:id="73"/>
    </w:p>
    <w:p>
      <w:pPr>
        <w:spacing w:after="120"/>
        <w:ind w:firstLine="480"/>
      </w:pPr>
      <w:r>
        <w:rPr>
          <w:rFonts w:ascii="Times New Roman" w:hAnsi="Times New Roman" w:eastAsia="標楷體" w:cs="標楷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bookmarkStart w:id="74" w:name="_Toc10073"/>
      <w:r>
        <w:rPr>
          <w:rFonts w:ascii="Times New Roman" w:hAnsi="Times New Roman" w:eastAsia="標楷體" w:cs="標楷體"/>
        </w:rPr>
        <w:t>附錄 D　31 棵樣本樹皮尺對照完整記錄</w:t>
      </w:r>
      <w:bookmarkEnd w:id="74"/>
    </w:p>
    <w:p/>
    <w:p>
      <w:pPr/>
      <w:r>
        <w:rPr>
          <w:rFonts w:ascii="Times New Roman" w:hAnsi="Times New Roman" w:eastAsia="標楷體" w:cs="標楷體"/>
        </w:rP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titlePg/>
      <w:pgSz w:w="11906" w:h="16838"/>
      <w:pgMar w:top="1417" w:right="1417" w:bottom="1417" w:left="1701" w:header="720" w:footer="720" w:gutter="0"/>
      <w:cols w:space="720"/>
      <w:docGrid w:linePitch="360"/>
    </w:sectPr>
    <w:p>
      <w:pPr/>
      <w:r>
        <w:rPr>
          <w:rFonts w:ascii="Times New Roman" w:hAnsi="Times New Roman" w:eastAsia="標楷體" w:cs="標楷體"/>
          <w:noProof/>
        </w:rPr>
        <w:br w:type="page"/>
      </w:r>
    </w:p>
    <w:p>
      <w:pPr>
        <w:jc w:val="center"/>
        <w:spacing w:before="2880" w:after="120"/>
      </w:pPr>
      <w:r>
        <w:rPr>
          <w:rFonts w:ascii="Times New Roman" w:hAnsi="Times New Roman" w:eastAsia="標楷體" w:cs="標楷體"/>
          <w:sz w:val="32"/>
          <w:szCs w:val="32"/>
        </w:rPr>
        <w:t>國立台東大學資訊管理學系</w:t>
      </w:r>
    </w:p>
    <w:p>
      <w:pPr>
        <w:jc w:val="center"/>
        <w:spacing w:before="120" w:after="2880"/>
      </w:pPr>
      <w:r>
        <w:rPr>
          <w:rFonts w:ascii="Times New Roman" w:hAnsi="Times New Roman" w:eastAsia="標楷體" w:cs="標楷體"/>
          <w:sz w:val="32"/>
          <w:szCs w:val="32"/>
        </w:rPr>
        <w:t>畢業專題</w:t>
      </w:r>
    </w:p>
    <w:p>
      <w:pPr>
        <w:jc w:val="center"/>
        <w:spacing w:before="0" w:after="160"/>
      </w:pPr>
      <w:r>
        <w:rPr>
          <w:rFonts w:ascii="Times New Roman" w:hAnsi="Times New Roman" w:eastAsia="標楷體" w:cs="標楷體"/>
          <w:b/>
          <w:sz w:val="36"/>
          <w:szCs w:val="36"/>
        </w:rPr>
        <w:t>植樹碳紀錄管理平台：整合 AI 量測與區塊鏈存證</w:t>
      </w:r>
    </w:p>
    <w:p>
      <w:pPr>
        <w:jc w:val="center"/>
        <w:spacing w:before="160" w:after="2880"/>
      </w:pPr>
      <w:r>
        <w:rPr>
          <w:rFonts w:ascii="Times New Roman" w:hAnsi="Times New Roman" w:eastAsia="標楷體" w:cs="標楷體"/>
          <w:b/>
          <w:sz w:val="28"/>
          <w:szCs w:val="28"/>
        </w:rPr>
        <w:t>——以 SDG 15（陸域生命）永續林地管理與植樹造林為導向</w:t>
      </w:r>
    </w:p>
    <w:p>
      <w:pPr>
        <w:jc w:val="center"/>
        <w:spacing w:before="0" w:after="120"/>
      </w:pPr>
      <w:r>
        <w:rPr>
          <w:rFonts w:ascii="Times New Roman" w:hAnsi="Times New Roman" w:eastAsia="標楷體" w:cs="標楷體"/>
          <w:sz w:val="26"/>
          <w:szCs w:val="26"/>
        </w:rPr>
        <w:t>中華民國116年7月</w:t>
      </w:r>
    </w:p>
    <w:p>
      <w:pPr>
        <w:jc w:val="center"/>
        <w:spacing w:before="120" w:after="0"/>
      </w:pPr>
      <w:r>
        <w:rPr>
          <w:rFonts w:ascii="Times New Roman" w:hAnsi="Times New Roman" w:eastAsia="標楷體" w:cs="標楷體"/>
          <w:sz w:val="22"/>
          <w:szCs w:val="22"/>
        </w:rPr>
        <w:t>July, 2027</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A1B2C3D4" w14:textId="A1B2C3D5" w:rsidR="009E578F" w:rsidRDefault="00000000">
    <w:pPr>
      <w:pStyle w:val="a6"/>
      <w:spacing w:before="240" w:after="240"/>
      <w:ind w:firstLine="400"/>
    </w:pPr>
    <w:r>
      <w:rPr>
        <w:rFonts w:ascii="Times New Roman" w:hAnsi="Times New Roman" w:eastAsia="標楷體" w:cs="標楷體"/>
        <w:noProof/>
      </w:rPr>
      <w:pict w14:anchorId="1AE26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Odd" o:spid="_x0000_s2001" type="#_x0000_t75" style="position:absolute;left:0;text-align:left;margin-left:0;margin-top:0;width:415.25pt;height:415.25pt;z-index:-251658240;mso-position-horizontal:center;mso-position-horizontal-relative:margin;mso-position-vertical:center;mso-position-vertical-relative:margin" o:allowincell="f">
          <v:imagedata r:id="rId1" o:title="NTTULOGO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B1C2D3E4" w14:textId="B1C2D3E5" w:rsidR="009E578F" w:rsidRDefault="00000000">
    <w:pPr>
      <w:pStyle w:val="a6"/>
      <w:spacing w:before="240" w:after="240"/>
      <w:ind w:firstLine="400"/>
    </w:pPr>
    <w:r>
      <w:rPr>
        <w:rFonts w:ascii="Times New Roman" w:hAnsi="Times New Roman" w:eastAsia="標楷體" w:cs="標楷體"/>
        <w:noProof/>
      </w:rPr>
      <w:pict w14:anchorId="1AE26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Even" o:spid="_x0000_s2002" type="#_x0000_t75" style="position:absolute;left:0;text-align:left;margin-left:0;margin-top:0;width:415.25pt;height:415.25pt;z-index:-251658240;mso-position-horizontal:center;mso-position-horizontal-relative:margin;mso-position-vertical:center;mso-position-vertical-relative:margin" o:allowincell="f">
          <v:imagedata r:id="rId1" o:title="NTTULOGO1"/>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updateFields w:val="tru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標楷體" w:cs="標楷體"/>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cs="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標楷體" w:cs="標楷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標楷體" w:cs="標楷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標楷體" w:cs="標楷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標楷體" w:cs="標楷體"/>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標楷體" w:cs="標楷體"/>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標楷體" w:cs="標楷體"/>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標楷體" w:cs="標楷體"/>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標楷體" w:cs="標楷體"/>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標楷體" w:cs="標楷體"/>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標楷體" w:cs="標楷體"/>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標楷體" w:cs="標楷體"/>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標楷體" w:cs="標楷體"/>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標楷體" w:cs="標楷體"/>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標楷體" w:cs="標楷體"/>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標楷體" w:cs="標楷體"/>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標楷體" w:cs="標楷體"/>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標楷體" w:cs="標楷體"/>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標楷體" w:cs="標楷體"/>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cs="標楷體"/>
      <w:sz w:val="20"/>
      <w:szCs w:val="20"/>
    </w:rPr>
  </w:style>
  <w:style w:type="character" w:customStyle="1" w:styleId="MacroTextChar">
    <w:name w:val="Macro Text Char"/>
    <w:basedOn w:val="DefaultParagraphFont"/>
    <w:link w:val="MacroText"/>
    <w:uiPriority w:val="99"/>
    <w:rsid w:val="0029639D"/>
    <w:rPr>
      <w:rFonts w:ascii="Times New Roman" w:hAnsi="Times New Roman" w:eastAsia="標楷體" w:cs="標楷體"/>
      <w:sz w:val="20"/>
      <w:szCs w:val="20"/>
    </w:rPr>
  </w:style>
  <w:style w:type="paragraph" w:styleId="Quote">
    <w:name w:val="Quote"/>
    <w:basedOn w:val="Normal"/>
    <w:next w:val="Normal"/>
    <w:link w:val="QuoteChar"/>
    <w:uiPriority w:val="29"/>
    <w:qFormat/>
    <w:rsid w:val="00FC693F"/>
    <w:rPr>
      <w:rFonts w:ascii="Times New Roman" w:hAnsi="Times New Roman" w:eastAsia="標楷體" w:cs="標楷體"/>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標楷體" w:cs="標楷體"/>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標楷體" w:cs="標楷體"/>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標楷體" w:cs="標楷體"/>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標楷體" w:cs="標楷體"/>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標楷體" w:cs="標楷體"/>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標楷體" w:cs="標楷體"/>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標楷體" w:cs="標楷體"/>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標楷體" w:cs="標楷體"/>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標楷體" w:cs="標楷體"/>
      <w:b/>
      <w:bCs/>
    </w:rPr>
  </w:style>
  <w:style w:type="character" w:styleId="Emphasis">
    <w:name w:val="Emphasis"/>
    <w:basedOn w:val="DefaultParagraphFont"/>
    <w:uiPriority w:val="20"/>
    <w:qFormat/>
    <w:rsid w:val="00FC693F"/>
    <w:rPr>
      <w:rFonts w:ascii="Times New Roman" w:hAnsi="Times New Roman" w:eastAsia="標楷體" w:cs="標楷體"/>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標楷體" w:cs="標楷體"/>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標楷體" w:cs="標楷體"/>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標楷體" w:cs="標楷體"/>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標楷體" w:cs="標楷體"/>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標楷體" w:cs="標楷體"/>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標楷體" w:cs="標楷體"/>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標楷體" w:cs="標楷體"/>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標楷體" w:cs="標楷體"/>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標楷體" w:cs="標楷體"/>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標楷體" w:cs="標楷體"/>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標楷體" w:cs="標楷體"/>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標楷體" w:cs="標楷體"/>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標楷體" w:cs="標楷體"/>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標楷體" w:cs="標楷體"/>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000000" w:themeFill="text1"/>
      </w:tcPr>
    </w:tblStylePr>
    <w:tblStylePr w:type="lastRow">
      <w:pPr>
        <w:spacing w:before="0" w:after="0" w:line="240" w:lineRule="auto"/>
      </w:pPr>
      <w:rPr>
        <w:rFonts w:ascii="Times New Roman" w:hAnsi="Times New Roman" w:eastAsia="標楷體" w:cs="標楷體"/>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4F81BD" w:themeFill="accent1"/>
      </w:tcPr>
    </w:tblStylePr>
    <w:tblStylePr w:type="lastRow">
      <w:pPr>
        <w:spacing w:before="0" w:after="0" w:line="240" w:lineRule="auto"/>
      </w:pPr>
      <w:rPr>
        <w:rFonts w:ascii="Times New Roman" w:hAnsi="Times New Roman" w:eastAsia="標楷體" w:cs="標楷體"/>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C0504D" w:themeFill="accent2"/>
      </w:tcPr>
    </w:tblStylePr>
    <w:tblStylePr w:type="lastRow">
      <w:pPr>
        <w:spacing w:before="0" w:after="0" w:line="240" w:lineRule="auto"/>
      </w:pPr>
      <w:rPr>
        <w:rFonts w:ascii="Times New Roman" w:hAnsi="Times New Roman" w:eastAsia="標楷體" w:cs="標楷體"/>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9BBB59" w:themeFill="accent3"/>
      </w:tcPr>
    </w:tblStylePr>
    <w:tblStylePr w:type="lastRow">
      <w:pPr>
        <w:spacing w:before="0" w:after="0" w:line="240" w:lineRule="auto"/>
      </w:pPr>
      <w:rPr>
        <w:rFonts w:ascii="Times New Roman" w:hAnsi="Times New Roman" w:eastAsia="標楷體" w:cs="標楷體"/>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8064A2" w:themeFill="accent4"/>
      </w:tcPr>
    </w:tblStylePr>
    <w:tblStylePr w:type="lastRow">
      <w:pPr>
        <w:spacing w:before="0" w:after="0" w:line="240" w:lineRule="auto"/>
      </w:pPr>
      <w:rPr>
        <w:rFonts w:ascii="Times New Roman" w:hAnsi="Times New Roman" w:eastAsia="標楷體" w:cs="標楷體"/>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4BACC6" w:themeFill="accent5"/>
      </w:tcPr>
    </w:tblStylePr>
    <w:tblStylePr w:type="lastRow">
      <w:pPr>
        <w:spacing w:before="0" w:after="0" w:line="240" w:lineRule="auto"/>
      </w:pPr>
      <w:rPr>
        <w:rFonts w:ascii="Times New Roman" w:hAnsi="Times New Roman" w:eastAsia="標楷體" w:cs="標楷體"/>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F79646" w:themeFill="accent6"/>
      </w:tcPr>
    </w:tblStylePr>
    <w:tblStylePr w:type="lastRow">
      <w:pPr>
        <w:spacing w:before="0" w:after="0" w:line="240" w:lineRule="auto"/>
      </w:pPr>
      <w:rPr>
        <w:rFonts w:ascii="Times New Roman" w:hAnsi="Times New Roman" w:eastAsia="標楷體" w:cs="標楷體"/>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標楷體" w:cs="標楷體"/>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標楷體" w:cs="標楷體"/>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標楷體" w:cs="標楷體"/>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標楷體" w:cs="標楷體"/>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標楷體" w:cs="標楷體"/>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標楷體" w:cs="標楷體"/>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標楷體" w:cs="標楷體"/>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000000" w:themeColor="text1"/>
        </w:tcBorders>
      </w:tcPr>
    </w:tblStylePr>
    <w:tblStylePr w:type="lastRow">
      <w:rPr>
        <w:rFonts w:ascii="Times New Roman" w:hAnsi="Times New Roman" w:eastAsia="標楷體" w:cs="標楷體"/>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4F81BD" w:themeColor="accent1"/>
        </w:tcBorders>
      </w:tcPr>
    </w:tblStylePr>
    <w:tblStylePr w:type="lastRow">
      <w:rPr>
        <w:rFonts w:ascii="Times New Roman" w:hAnsi="Times New Roman" w:eastAsia="標楷體" w:cs="標楷體"/>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C0504D" w:themeColor="accent2"/>
        </w:tcBorders>
      </w:tcPr>
    </w:tblStylePr>
    <w:tblStylePr w:type="lastRow">
      <w:rPr>
        <w:rFonts w:ascii="Times New Roman" w:hAnsi="Times New Roman" w:eastAsia="標楷體" w:cs="標楷體"/>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9BBB59" w:themeColor="accent3"/>
        </w:tcBorders>
      </w:tcPr>
    </w:tblStylePr>
    <w:tblStylePr w:type="lastRow">
      <w:rPr>
        <w:rFonts w:ascii="Times New Roman" w:hAnsi="Times New Roman" w:eastAsia="標楷體" w:cs="標楷體"/>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8064A2" w:themeColor="accent4"/>
        </w:tcBorders>
      </w:tcPr>
    </w:tblStylePr>
    <w:tblStylePr w:type="lastRow">
      <w:rPr>
        <w:rFonts w:ascii="Times New Roman" w:hAnsi="Times New Roman" w:eastAsia="標楷體" w:cs="標楷體"/>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4BACC6" w:themeColor="accent5"/>
        </w:tcBorders>
      </w:tcPr>
    </w:tblStylePr>
    <w:tblStylePr w:type="lastRow">
      <w:rPr>
        <w:rFonts w:ascii="Times New Roman" w:hAnsi="Times New Roman" w:eastAsia="標楷體" w:cs="標楷體"/>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F79646" w:themeColor="accent6"/>
        </w:tcBorders>
      </w:tcPr>
    </w:tblStylePr>
    <w:tblStylePr w:type="lastRow">
      <w:rPr>
        <w:rFonts w:ascii="Times New Roman" w:hAnsi="Times New Roman" w:eastAsia="標楷體" w:cs="標楷體"/>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404040" w:themeColor="text1"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7BA0CD" w:themeColor="accent1"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CF7B79" w:themeColor="accent2"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B3CC82" w:themeColor="accent3"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9F8AB9" w:themeColor="accent4"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78C0D4" w:themeColor="accent5"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F9B074" w:themeColor="accent6"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color w:val="000000" w:themeColor="text1"/>
      </w:rPr>
      <w:tblPr/>
      <w:tcPr>
        <w:shd w:val="clear" w:color="auto" w:fill="E6E6E6" w:themeFill="text1"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color w:val="000000" w:themeColor="text1"/>
      </w:rPr>
      <w:tblPr/>
      <w:tcPr>
        <w:shd w:val="clear" w:color="auto" w:fill="EDF2F8" w:themeFill="accent1"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color w:val="000000" w:themeColor="text1"/>
      </w:rPr>
      <w:tblPr/>
      <w:tcPr>
        <w:shd w:val="clear" w:color="auto" w:fill="F8EDED" w:themeFill="accent2"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color w:val="000000" w:themeColor="text1"/>
      </w:rPr>
      <w:tblPr/>
      <w:tcPr>
        <w:shd w:val="clear" w:color="auto" w:fill="F5F8EE" w:themeFill="accent3"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color w:val="000000" w:themeColor="text1"/>
      </w:rPr>
      <w:tblPr/>
      <w:tcPr>
        <w:shd w:val="clear" w:color="auto" w:fill="F2EFF6" w:themeFill="accent4"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color w:val="000000" w:themeColor="text1"/>
      </w:rPr>
      <w:tblPr/>
      <w:tcPr>
        <w:shd w:val="clear" w:color="auto" w:fill="EDF6F9" w:themeFill="accent5"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color w:val="000000" w:themeColor="text1"/>
      </w:rPr>
      <w:tblPr/>
      <w:tcPr>
        <w:shd w:val="clear" w:color="auto" w:fill="FEF4EC" w:themeFill="accent6"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標楷體" w:cs="標楷體"/>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標楷體" w:cs="標楷體"/>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標楷體" w:cs="標楷體"/>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標楷體" w:cs="標楷體"/>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標楷體" w:cs="標楷體"/>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標楷體" w:cs="標楷體"/>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標楷體" w:cs="標楷體"/>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標楷體" w:cs="標楷體"/>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標楷體" w:cs="標楷體"/>
        <w:b/>
        <w:bCs/>
      </w:rPr>
      <w:tblPr/>
      <w:tcPr>
        <w:shd w:val="clear" w:color="auto" w:fill="999999" w:themeFill="text1" w:themeFillTint="66"/>
      </w:tcPr>
    </w:tblStylePr>
    <w:tblStylePr w:type="lastRow">
      <w:rPr>
        <w:rFonts w:ascii="Times New Roman" w:hAnsi="Times New Roman" w:eastAsia="標楷體" w:cs="標楷體"/>
        <w:b/>
        <w:bCs/>
        <w:color w:val="000000" w:themeColor="text1"/>
      </w:rPr>
      <w:tblPr/>
      <w:tcPr>
        <w:shd w:val="clear" w:color="auto" w:fill="999999" w:themeFill="text1" w:themeFillTint="66"/>
      </w:tcPr>
    </w:tblStylePr>
    <w:tblStylePr w:type="firstCol">
      <w:rPr>
        <w:rFonts w:ascii="Times New Roman" w:hAnsi="Times New Roman" w:eastAsia="標楷體" w:cs="標楷體"/>
        <w:color w:val="FFFFFF" w:themeColor="background1"/>
      </w:rPr>
      <w:tblPr/>
      <w:tcPr>
        <w:shd w:val="clear" w:color="auto" w:fill="000000" w:themeFill="text1" w:themeFillShade="BF"/>
      </w:tcPr>
    </w:tblStylePr>
    <w:tblStylePr w:type="lastCol">
      <w:rPr>
        <w:rFonts w:ascii="Times New Roman" w:hAnsi="Times New Roman" w:eastAsia="標楷體" w:cs="標楷體"/>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標楷體" w:cs="標楷體"/>
        <w:b/>
        <w:bCs/>
      </w:rPr>
      <w:tblPr/>
      <w:tcPr>
        <w:shd w:val="clear" w:color="auto" w:fill="B8CCE4" w:themeFill="accent1" w:themeFillTint="66"/>
      </w:tcPr>
    </w:tblStylePr>
    <w:tblStylePr w:type="lastRow">
      <w:rPr>
        <w:rFonts w:ascii="Times New Roman" w:hAnsi="Times New Roman" w:eastAsia="標楷體" w:cs="標楷體"/>
        <w:b/>
        <w:bCs/>
        <w:color w:val="000000" w:themeColor="text1"/>
      </w:rPr>
      <w:tblPr/>
      <w:tcPr>
        <w:shd w:val="clear" w:color="auto" w:fill="B8CCE4" w:themeFill="accent1" w:themeFillTint="66"/>
      </w:tcPr>
    </w:tblStylePr>
    <w:tblStylePr w:type="firstCol">
      <w:rPr>
        <w:rFonts w:ascii="Times New Roman" w:hAnsi="Times New Roman" w:eastAsia="標楷體" w:cs="標楷體"/>
        <w:color w:val="FFFFFF" w:themeColor="background1"/>
      </w:rPr>
      <w:tblPr/>
      <w:tcPr>
        <w:shd w:val="clear" w:color="auto" w:fill="365F91" w:themeFill="accent1" w:themeFillShade="BF"/>
      </w:tcPr>
    </w:tblStylePr>
    <w:tblStylePr w:type="lastCol">
      <w:rPr>
        <w:rFonts w:ascii="Times New Roman" w:hAnsi="Times New Roman" w:eastAsia="標楷體" w:cs="標楷體"/>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標楷體" w:cs="標楷體"/>
        <w:b/>
        <w:bCs/>
      </w:rPr>
      <w:tblPr/>
      <w:tcPr>
        <w:shd w:val="clear" w:color="auto" w:fill="E5B8B7" w:themeFill="accent2" w:themeFillTint="66"/>
      </w:tcPr>
    </w:tblStylePr>
    <w:tblStylePr w:type="lastRow">
      <w:rPr>
        <w:rFonts w:ascii="Times New Roman" w:hAnsi="Times New Roman" w:eastAsia="標楷體" w:cs="標楷體"/>
        <w:b/>
        <w:bCs/>
        <w:color w:val="000000" w:themeColor="text1"/>
      </w:rPr>
      <w:tblPr/>
      <w:tcPr>
        <w:shd w:val="clear" w:color="auto" w:fill="E5B8B7" w:themeFill="accent2" w:themeFillTint="66"/>
      </w:tcPr>
    </w:tblStylePr>
    <w:tblStylePr w:type="firstCol">
      <w:rPr>
        <w:rFonts w:ascii="Times New Roman" w:hAnsi="Times New Roman" w:eastAsia="標楷體" w:cs="標楷體"/>
        <w:color w:val="FFFFFF" w:themeColor="background1"/>
      </w:rPr>
      <w:tblPr/>
      <w:tcPr>
        <w:shd w:val="clear" w:color="auto" w:fill="943634" w:themeFill="accent2" w:themeFillShade="BF"/>
      </w:tcPr>
    </w:tblStylePr>
    <w:tblStylePr w:type="lastCol">
      <w:rPr>
        <w:rFonts w:ascii="Times New Roman" w:hAnsi="Times New Roman" w:eastAsia="標楷體" w:cs="標楷體"/>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標楷體" w:cs="標楷體"/>
        <w:b/>
        <w:bCs/>
      </w:rPr>
      <w:tblPr/>
      <w:tcPr>
        <w:shd w:val="clear" w:color="auto" w:fill="D6E3BC" w:themeFill="accent3" w:themeFillTint="66"/>
      </w:tcPr>
    </w:tblStylePr>
    <w:tblStylePr w:type="lastRow">
      <w:rPr>
        <w:rFonts w:ascii="Times New Roman" w:hAnsi="Times New Roman" w:eastAsia="標楷體" w:cs="標楷體"/>
        <w:b/>
        <w:bCs/>
        <w:color w:val="000000" w:themeColor="text1"/>
      </w:rPr>
      <w:tblPr/>
      <w:tcPr>
        <w:shd w:val="clear" w:color="auto" w:fill="D6E3BC" w:themeFill="accent3" w:themeFillTint="66"/>
      </w:tcPr>
    </w:tblStylePr>
    <w:tblStylePr w:type="firstCol">
      <w:rPr>
        <w:rFonts w:ascii="Times New Roman" w:hAnsi="Times New Roman" w:eastAsia="標楷體" w:cs="標楷體"/>
        <w:color w:val="FFFFFF" w:themeColor="background1"/>
      </w:rPr>
      <w:tblPr/>
      <w:tcPr>
        <w:shd w:val="clear" w:color="auto" w:fill="76923C" w:themeFill="accent3" w:themeFillShade="BF"/>
      </w:tcPr>
    </w:tblStylePr>
    <w:tblStylePr w:type="lastCol">
      <w:rPr>
        <w:rFonts w:ascii="Times New Roman" w:hAnsi="Times New Roman" w:eastAsia="標楷體" w:cs="標楷體"/>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標楷體" w:cs="標楷體"/>
        <w:b/>
        <w:bCs/>
      </w:rPr>
      <w:tblPr/>
      <w:tcPr>
        <w:shd w:val="clear" w:color="auto" w:fill="CCC0D9" w:themeFill="accent4" w:themeFillTint="66"/>
      </w:tcPr>
    </w:tblStylePr>
    <w:tblStylePr w:type="lastRow">
      <w:rPr>
        <w:rFonts w:ascii="Times New Roman" w:hAnsi="Times New Roman" w:eastAsia="標楷體" w:cs="標楷體"/>
        <w:b/>
        <w:bCs/>
        <w:color w:val="000000" w:themeColor="text1"/>
      </w:rPr>
      <w:tblPr/>
      <w:tcPr>
        <w:shd w:val="clear" w:color="auto" w:fill="CCC0D9" w:themeFill="accent4" w:themeFillTint="66"/>
      </w:tcPr>
    </w:tblStylePr>
    <w:tblStylePr w:type="firstCol">
      <w:rPr>
        <w:rFonts w:ascii="Times New Roman" w:hAnsi="Times New Roman" w:eastAsia="標楷體" w:cs="標楷體"/>
        <w:color w:val="FFFFFF" w:themeColor="background1"/>
      </w:rPr>
      <w:tblPr/>
      <w:tcPr>
        <w:shd w:val="clear" w:color="auto" w:fill="5F497A" w:themeFill="accent4" w:themeFillShade="BF"/>
      </w:tcPr>
    </w:tblStylePr>
    <w:tblStylePr w:type="lastCol">
      <w:rPr>
        <w:rFonts w:ascii="Times New Roman" w:hAnsi="Times New Roman" w:eastAsia="標楷體" w:cs="標楷體"/>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標楷體" w:cs="標楷體"/>
        <w:b/>
        <w:bCs/>
      </w:rPr>
      <w:tblPr/>
      <w:tcPr>
        <w:shd w:val="clear" w:color="auto" w:fill="B6DDE8" w:themeFill="accent5" w:themeFillTint="66"/>
      </w:tcPr>
    </w:tblStylePr>
    <w:tblStylePr w:type="lastRow">
      <w:rPr>
        <w:rFonts w:ascii="Times New Roman" w:hAnsi="Times New Roman" w:eastAsia="標楷體" w:cs="標楷體"/>
        <w:b/>
        <w:bCs/>
        <w:color w:val="000000" w:themeColor="text1"/>
      </w:rPr>
      <w:tblPr/>
      <w:tcPr>
        <w:shd w:val="clear" w:color="auto" w:fill="B6DDE8" w:themeFill="accent5" w:themeFillTint="66"/>
      </w:tcPr>
    </w:tblStylePr>
    <w:tblStylePr w:type="firstCol">
      <w:rPr>
        <w:rFonts w:ascii="Times New Roman" w:hAnsi="Times New Roman" w:eastAsia="標楷體" w:cs="標楷體"/>
        <w:color w:val="FFFFFF" w:themeColor="background1"/>
      </w:rPr>
      <w:tblPr/>
      <w:tcPr>
        <w:shd w:val="clear" w:color="auto" w:fill="31849B" w:themeFill="accent5" w:themeFillShade="BF"/>
      </w:tcPr>
    </w:tblStylePr>
    <w:tblStylePr w:type="lastCol">
      <w:rPr>
        <w:rFonts w:ascii="Times New Roman" w:hAnsi="Times New Roman" w:eastAsia="標楷體" w:cs="標楷體"/>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標楷體" w:cs="標楷體"/>
        <w:b/>
        <w:bCs/>
      </w:rPr>
      <w:tblPr/>
      <w:tcPr>
        <w:shd w:val="clear" w:color="auto" w:fill="FBD4B4" w:themeFill="accent6" w:themeFillTint="66"/>
      </w:tcPr>
    </w:tblStylePr>
    <w:tblStylePr w:type="lastRow">
      <w:rPr>
        <w:rFonts w:ascii="Times New Roman" w:hAnsi="Times New Roman" w:eastAsia="標楷體" w:cs="標楷體"/>
        <w:b/>
        <w:bCs/>
        <w:color w:val="000000" w:themeColor="text1"/>
      </w:rPr>
      <w:tblPr/>
      <w:tcPr>
        <w:shd w:val="clear" w:color="auto" w:fill="FBD4B4" w:themeFill="accent6" w:themeFillTint="66"/>
      </w:tcPr>
    </w:tblStylePr>
    <w:tblStylePr w:type="firstCol">
      <w:rPr>
        <w:rFonts w:ascii="Times New Roman" w:hAnsi="Times New Roman" w:eastAsia="標楷體" w:cs="標楷體"/>
        <w:color w:val="FFFFFF" w:themeColor="background1"/>
      </w:rPr>
      <w:tblPr/>
      <w:tcPr>
        <w:shd w:val="clear" w:color="auto" w:fill="E36C0A" w:themeFill="accent6" w:themeFillShade="BF"/>
      </w:tcPr>
    </w:tblStylePr>
    <w:tblStylePr w:type="lastCol">
      <w:rPr>
        <w:rFonts w:ascii="Times New Roman" w:hAnsi="Times New Roman" w:eastAsia="標楷體" w:cs="標楷體"/>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semiHidden/>
    <w:unhideWhenUsed/>
    <w:pPr>
      <w:spacing w:after="0"/>
      <w:tabs>
        <w:tab w:val="right" w:leader="dot" w:pos="9360"/>
      </w:tabs>
    </w:pPr>
    <w:rPr>
      <w:rFonts w:ascii="Times New Roman" w:hAnsi="Times New Roman" w:eastAsia="標楷體" w:cs="標楷體"/>
      <w:sz w:val="24"/>
      <w:szCs w:val="24"/>
    </w:rPr>
  </w:style>
  <w:style w:type="paragraph" w:styleId="TOC2">
    <w:name w:val="toc 2"/>
    <w:basedOn w:val="Normal"/>
    <w:next w:val="Normal"/>
    <w:uiPriority w:val="39"/>
    <w:semiHidden/>
    <w:unhideWhenUsed/>
    <w:pPr>
      <w:spacing w:after="0"/>
      <w:ind w:left="240"/>
      <w:tabs>
        <w:tab w:val="right" w:leader="dot" w:pos="9360"/>
      </w:tabs>
    </w:pPr>
    <w:rPr>
      <w:rFonts w:ascii="Times New Roman" w:hAnsi="Times New Roman" w:eastAsia="標楷體" w:cs="標楷體"/>
      <w:sz w:val="22"/>
      <w:szCs w:val="22"/>
    </w:rPr>
  </w:style>
  <w:style w:type="paragraph" w:styleId="TOC3">
    <w:name w:val="toc 3"/>
    <w:basedOn w:val="Normal"/>
    <w:next w:val="Normal"/>
    <w:uiPriority w:val="39"/>
    <w:semiHidden/>
    <w:unhideWhenUsed/>
    <w:pPr>
      <w:spacing w:after="0"/>
      <w:ind w:left="480"/>
      <w:tabs>
        <w:tab w:val="right" w:leader="dot" w:pos="9360"/>
      </w:tabs>
    </w:pPr>
    <w:rPr>
      <w:rFonts w:ascii="Times New Roman" w:hAnsi="Times New Roman" w:eastAsia="標楷體" w:cs="標楷體"/>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imes New Roman" w:hAnsi="Times New Roman" w:eastAsia="標楷體" w:cs="標楷體"/>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標楷體" w:cs="標楷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標楷體" w:cs="標楷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標楷體" w:cs="標楷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標楷體" w:cs="標楷體"/>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標楷體" w:cs="標楷體"/>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標楷體" w:cs="標楷體"/>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標楷體" w:cs="標楷體"/>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標楷體" w:cs="標楷體"/>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標楷體" w:cs="標楷體"/>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標楷體" w:cs="標楷體"/>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標楷體" w:cs="標楷體"/>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標楷體" w:cs="標楷體"/>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標楷體" w:cs="標楷體"/>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標楷體" w:cs="標楷體"/>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標楷體" w:cs="標楷體"/>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標楷體" w:cs="標楷體"/>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標楷體" w:cs="標楷體"/>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標楷體" w:cs="標楷體"/>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cs="標楷體"/>
      <w:sz w:val="20"/>
      <w:szCs w:val="20"/>
    </w:rPr>
  </w:style>
  <w:style w:type="character" w:customStyle="1" w:styleId="MacroTextChar">
    <w:name w:val="Macro Text Char"/>
    <w:basedOn w:val="DefaultParagraphFont"/>
    <w:link w:val="MacroText"/>
    <w:uiPriority w:val="99"/>
    <w:rsid w:val="0029639D"/>
    <w:rPr>
      <w:rFonts w:ascii="Times New Roman" w:hAnsi="Times New Roman" w:eastAsia="標楷體" w:cs="標楷體"/>
      <w:sz w:val="20"/>
      <w:szCs w:val="20"/>
    </w:rPr>
  </w:style>
  <w:style w:type="paragraph" w:styleId="Quote">
    <w:name w:val="Quote"/>
    <w:basedOn w:val="Normal"/>
    <w:next w:val="Normal"/>
    <w:link w:val="QuoteChar"/>
    <w:uiPriority w:val="29"/>
    <w:qFormat/>
    <w:rsid w:val="00FC693F"/>
    <w:rPr>
      <w:rFonts w:ascii="Times New Roman" w:hAnsi="Times New Roman" w:eastAsia="標楷體" w:cs="標楷體"/>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標楷體" w:cs="標楷體"/>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標楷體" w:cs="標楷體"/>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標楷體" w:cs="標楷體"/>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標楷體" w:cs="標楷體"/>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標楷體" w:cs="標楷體"/>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標楷體" w:cs="標楷體"/>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標楷體" w:cs="標楷體"/>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標楷體" w:cs="標楷體"/>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標楷體" w:cs="標楷體"/>
      <w:b/>
      <w:bCs/>
    </w:rPr>
  </w:style>
  <w:style w:type="character" w:styleId="Emphasis">
    <w:name w:val="Emphasis"/>
    <w:basedOn w:val="DefaultParagraphFont"/>
    <w:uiPriority w:val="20"/>
    <w:qFormat/>
    <w:rsid w:val="00FC693F"/>
    <w:rPr>
      <w:rFonts w:ascii="Times New Roman" w:hAnsi="Times New Roman" w:eastAsia="標楷體" w:cs="標楷體"/>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標楷體" w:cs="標楷體"/>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標楷體" w:cs="標楷體"/>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標楷體" w:cs="標楷體"/>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標楷體" w:cs="標楷體"/>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標楷體" w:cs="標楷體"/>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標楷體" w:cs="標楷體"/>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標楷體" w:cs="標楷體"/>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標楷體" w:cs="標楷體"/>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標楷體" w:cs="標楷體"/>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標楷體" w:cs="標楷體"/>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標楷體" w:cs="標楷體"/>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標楷體" w:cs="標楷體"/>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標楷體" w:cs="標楷體"/>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標楷體" w:cs="標楷體"/>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標楷體" w:cs="標楷體"/>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000000" w:themeFill="text1"/>
      </w:tcPr>
    </w:tblStylePr>
    <w:tblStylePr w:type="lastRow">
      <w:pPr>
        <w:spacing w:before="0" w:after="0" w:line="240" w:lineRule="auto"/>
      </w:pPr>
      <w:rPr>
        <w:rFonts w:ascii="Times New Roman" w:hAnsi="Times New Roman" w:eastAsia="標楷體" w:cs="標楷體"/>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4F81BD" w:themeFill="accent1"/>
      </w:tcPr>
    </w:tblStylePr>
    <w:tblStylePr w:type="lastRow">
      <w:pPr>
        <w:spacing w:before="0" w:after="0" w:line="240" w:lineRule="auto"/>
      </w:pPr>
      <w:rPr>
        <w:rFonts w:ascii="Times New Roman" w:hAnsi="Times New Roman" w:eastAsia="標楷體" w:cs="標楷體"/>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C0504D" w:themeFill="accent2"/>
      </w:tcPr>
    </w:tblStylePr>
    <w:tblStylePr w:type="lastRow">
      <w:pPr>
        <w:spacing w:before="0" w:after="0" w:line="240" w:lineRule="auto"/>
      </w:pPr>
      <w:rPr>
        <w:rFonts w:ascii="Times New Roman" w:hAnsi="Times New Roman" w:eastAsia="標楷體" w:cs="標楷體"/>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9BBB59" w:themeFill="accent3"/>
      </w:tcPr>
    </w:tblStylePr>
    <w:tblStylePr w:type="lastRow">
      <w:pPr>
        <w:spacing w:before="0" w:after="0" w:line="240" w:lineRule="auto"/>
      </w:pPr>
      <w:rPr>
        <w:rFonts w:ascii="Times New Roman" w:hAnsi="Times New Roman" w:eastAsia="標楷體" w:cs="標楷體"/>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8064A2" w:themeFill="accent4"/>
      </w:tcPr>
    </w:tblStylePr>
    <w:tblStylePr w:type="lastRow">
      <w:pPr>
        <w:spacing w:before="0" w:after="0" w:line="240" w:lineRule="auto"/>
      </w:pPr>
      <w:rPr>
        <w:rFonts w:ascii="Times New Roman" w:hAnsi="Times New Roman" w:eastAsia="標楷體" w:cs="標楷體"/>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4BACC6" w:themeFill="accent5"/>
      </w:tcPr>
    </w:tblStylePr>
    <w:tblStylePr w:type="lastRow">
      <w:pPr>
        <w:spacing w:before="0" w:after="0" w:line="240" w:lineRule="auto"/>
      </w:pPr>
      <w:rPr>
        <w:rFonts w:ascii="Times New Roman" w:hAnsi="Times New Roman" w:eastAsia="標楷體" w:cs="標楷體"/>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shd w:val="clear" w:color="auto" w:fill="F79646" w:themeFill="accent6"/>
      </w:tcPr>
    </w:tblStylePr>
    <w:tblStylePr w:type="lastRow">
      <w:pPr>
        <w:spacing w:before="0" w:after="0" w:line="240" w:lineRule="auto"/>
      </w:pPr>
      <w:rPr>
        <w:rFonts w:ascii="Times New Roman" w:hAnsi="Times New Roman" w:eastAsia="標楷體" w:cs="標楷體"/>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標楷體" w:cs="標楷體"/>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標楷體" w:cs="標楷體"/>
        <w:b/>
        <w:bCs/>
      </w:rPr>
    </w:tblStylePr>
    <w:tblStylePr w:type="lastCol">
      <w:rPr>
        <w:rFonts w:asciiTheme="majorHAnsi" w:eastAsiaTheme="majorEastAsia" w:hAnsiTheme="majorHAnsi" w:cstheme="majorBidi" w:ascii="Times New Roman" w:hAnsi="Times New Roman" w:eastAsia="標楷體" w:cs="標楷體"/>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標楷體" w:cs="標楷體"/>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標楷體" w:cs="標楷體"/>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標楷體" w:cs="標楷體"/>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標楷體" w:cs="標楷體"/>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標楷體" w:cs="標楷體"/>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標楷體" w:cs="標楷體"/>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標楷體" w:cs="標楷體"/>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標楷體" w:cs="標楷體"/>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標楷體" w:cs="標楷體"/>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標楷體" w:cs="標楷體"/>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標楷體" w:cs="標楷體"/>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標楷體" w:cs="標楷體"/>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000000" w:themeColor="text1"/>
        </w:tcBorders>
      </w:tcPr>
    </w:tblStylePr>
    <w:tblStylePr w:type="lastRow">
      <w:rPr>
        <w:rFonts w:ascii="Times New Roman" w:hAnsi="Times New Roman" w:eastAsia="標楷體" w:cs="標楷體"/>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4F81BD" w:themeColor="accent1"/>
        </w:tcBorders>
      </w:tcPr>
    </w:tblStylePr>
    <w:tblStylePr w:type="lastRow">
      <w:rPr>
        <w:rFonts w:ascii="Times New Roman" w:hAnsi="Times New Roman" w:eastAsia="標楷體" w:cs="標楷體"/>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C0504D" w:themeColor="accent2"/>
        </w:tcBorders>
      </w:tcPr>
    </w:tblStylePr>
    <w:tblStylePr w:type="lastRow">
      <w:rPr>
        <w:rFonts w:ascii="Times New Roman" w:hAnsi="Times New Roman" w:eastAsia="標楷體" w:cs="標楷體"/>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9BBB59" w:themeColor="accent3"/>
        </w:tcBorders>
      </w:tcPr>
    </w:tblStylePr>
    <w:tblStylePr w:type="lastRow">
      <w:rPr>
        <w:rFonts w:ascii="Times New Roman" w:hAnsi="Times New Roman" w:eastAsia="標楷體" w:cs="標楷體"/>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8064A2" w:themeColor="accent4"/>
        </w:tcBorders>
      </w:tcPr>
    </w:tblStylePr>
    <w:tblStylePr w:type="lastRow">
      <w:rPr>
        <w:rFonts w:ascii="Times New Roman" w:hAnsi="Times New Roman" w:eastAsia="標楷體" w:cs="標楷體"/>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4BACC6" w:themeColor="accent5"/>
        </w:tcBorders>
      </w:tcPr>
    </w:tblStylePr>
    <w:tblStylePr w:type="lastRow">
      <w:rPr>
        <w:rFonts w:ascii="Times New Roman" w:hAnsi="Times New Roman" w:eastAsia="標楷體" w:cs="標楷體"/>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標楷體" w:cs="標楷體"/>
      </w:rPr>
      <w:tblPr/>
      <w:tcPr>
        <w:tcBorders>
          <w:top w:val="nil"/>
          <w:bottom w:val="single" w:sz="8" w:space="0" w:color="F79646" w:themeColor="accent6"/>
        </w:tcBorders>
      </w:tcPr>
    </w:tblStylePr>
    <w:tblStylePr w:type="lastRow">
      <w:rPr>
        <w:rFonts w:ascii="Times New Roman" w:hAnsi="Times New Roman" w:eastAsia="標楷體" w:cs="標楷體"/>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標楷體" w:cs="標楷體"/>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404040" w:themeColor="text1"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7BA0CD" w:themeColor="accent1"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CF7B79" w:themeColor="accent2"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B3CC82" w:themeColor="accent3"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9F8AB9" w:themeColor="accent4"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78C0D4" w:themeColor="accent5"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rPr>
    </w:tblStylePr>
    <w:tblStylePr w:type="lastRow">
      <w:rPr>
        <w:rFonts w:ascii="Times New Roman" w:hAnsi="Times New Roman" w:eastAsia="標楷體" w:cs="標楷體"/>
        <w:b/>
        <w:bCs/>
      </w:rPr>
      <w:tblPr/>
      <w:tcPr>
        <w:tcBorders>
          <w:top w:val="single" w:sz="18" w:space="0" w:color="F9B074" w:themeColor="accent6" w:themeTint="BF"/>
        </w:tcBorders>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color w:val="000000" w:themeColor="text1"/>
      </w:rPr>
      <w:tblPr/>
      <w:tcPr>
        <w:shd w:val="clear" w:color="auto" w:fill="E6E6E6" w:themeFill="text1"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color w:val="000000" w:themeColor="text1"/>
      </w:rPr>
      <w:tblPr/>
      <w:tcPr>
        <w:shd w:val="clear" w:color="auto" w:fill="EDF2F8" w:themeFill="accent1"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color w:val="000000" w:themeColor="text1"/>
      </w:rPr>
      <w:tblPr/>
      <w:tcPr>
        <w:shd w:val="clear" w:color="auto" w:fill="F8EDED" w:themeFill="accent2"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color w:val="000000" w:themeColor="text1"/>
      </w:rPr>
      <w:tblPr/>
      <w:tcPr>
        <w:shd w:val="clear" w:color="auto" w:fill="F5F8EE" w:themeFill="accent3"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color w:val="000000" w:themeColor="text1"/>
      </w:rPr>
      <w:tblPr/>
      <w:tcPr>
        <w:shd w:val="clear" w:color="auto" w:fill="F2EFF6" w:themeFill="accent4"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color w:val="000000" w:themeColor="text1"/>
      </w:rPr>
      <w:tblPr/>
      <w:tcPr>
        <w:shd w:val="clear" w:color="auto" w:fill="EDF6F9" w:themeFill="accent5"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標楷體" w:cs="標楷體"/>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color w:val="000000" w:themeColor="text1"/>
      </w:rPr>
      <w:tblPr/>
      <w:tcPr>
        <w:shd w:val="clear" w:color="auto" w:fill="FEF4EC" w:themeFill="accent6" w:themeFillTint="19"/>
      </w:tcPr>
    </w:tblStylePr>
    <w:tblStylePr w:type="lastRow">
      <w:rPr>
        <w:rFonts w:ascii="Times New Roman" w:hAnsi="Times New Roman" w:eastAsia="標楷體" w:cs="標楷體"/>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標楷體" w:cs="標楷體"/>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標楷體" w:cs="標楷體"/>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標楷體" w:cs="標楷體"/>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標楷體" w:cs="標楷體"/>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標楷體" w:cs="標楷體"/>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標楷體" w:cs="標楷體"/>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標楷體" w:cs="標楷體"/>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標楷體" w:cs="標楷體"/>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標楷體" w:cs="標楷體"/>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標楷體" w:cs="標楷體"/>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標楷體" w:cs="標楷體"/>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標楷體" w:cs="標楷體"/>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標楷體" w:cs="標楷體"/>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標楷體" w:cs="標楷體"/>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標楷體" w:cs="標楷體"/>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標楷體" w:cs="標楷體"/>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標楷體" w:cs="標楷體"/>
        <w:color w:val="000000" w:themeColor="text1"/>
      </w:rPr>
    </w:tblStylePr>
    <w:tblStylePr w:type="nwCell">
      <w:rPr>
        <w:rFonts w:ascii="Times New Roman" w:hAnsi="Times New Roman" w:eastAsia="標楷體" w:cs="標楷體"/>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標楷體" w:cs="標楷體"/>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標楷體" w:cs="標楷體"/>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標楷體" w:cs="標楷體"/>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標楷體" w:cs="標楷體"/>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標楷體" w:cs="標楷體"/>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標楷體" w:cs="標楷體"/>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標楷體" w:cs="標楷體"/>
        <w:b/>
        <w:bCs/>
      </w:rPr>
    </w:tblStylePr>
    <w:tblStylePr w:type="lastCol">
      <w:rPr>
        <w:rFonts w:ascii="Times New Roman" w:hAnsi="Times New Roman" w:eastAsia="標楷體" w:cs="標楷體"/>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標楷體" w:cs="標楷體"/>
        <w:b/>
        <w:bCs/>
      </w:rPr>
      <w:tblPr/>
      <w:tcPr>
        <w:shd w:val="clear" w:color="auto" w:fill="999999" w:themeFill="text1" w:themeFillTint="66"/>
      </w:tcPr>
    </w:tblStylePr>
    <w:tblStylePr w:type="lastRow">
      <w:rPr>
        <w:rFonts w:ascii="Times New Roman" w:hAnsi="Times New Roman" w:eastAsia="標楷體" w:cs="標楷體"/>
        <w:b/>
        <w:bCs/>
        <w:color w:val="000000" w:themeColor="text1"/>
      </w:rPr>
      <w:tblPr/>
      <w:tcPr>
        <w:shd w:val="clear" w:color="auto" w:fill="999999" w:themeFill="text1" w:themeFillTint="66"/>
      </w:tcPr>
    </w:tblStylePr>
    <w:tblStylePr w:type="firstCol">
      <w:rPr>
        <w:rFonts w:ascii="Times New Roman" w:hAnsi="Times New Roman" w:eastAsia="標楷體" w:cs="標楷體"/>
        <w:color w:val="FFFFFF" w:themeColor="background1"/>
      </w:rPr>
      <w:tblPr/>
      <w:tcPr>
        <w:shd w:val="clear" w:color="auto" w:fill="000000" w:themeFill="text1" w:themeFillShade="BF"/>
      </w:tcPr>
    </w:tblStylePr>
    <w:tblStylePr w:type="lastCol">
      <w:rPr>
        <w:rFonts w:ascii="Times New Roman" w:hAnsi="Times New Roman" w:eastAsia="標楷體" w:cs="標楷體"/>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標楷體" w:cs="標楷體"/>
        <w:b/>
        <w:bCs/>
      </w:rPr>
      <w:tblPr/>
      <w:tcPr>
        <w:shd w:val="clear" w:color="auto" w:fill="B8CCE4" w:themeFill="accent1" w:themeFillTint="66"/>
      </w:tcPr>
    </w:tblStylePr>
    <w:tblStylePr w:type="lastRow">
      <w:rPr>
        <w:rFonts w:ascii="Times New Roman" w:hAnsi="Times New Roman" w:eastAsia="標楷體" w:cs="標楷體"/>
        <w:b/>
        <w:bCs/>
        <w:color w:val="000000" w:themeColor="text1"/>
      </w:rPr>
      <w:tblPr/>
      <w:tcPr>
        <w:shd w:val="clear" w:color="auto" w:fill="B8CCE4" w:themeFill="accent1" w:themeFillTint="66"/>
      </w:tcPr>
    </w:tblStylePr>
    <w:tblStylePr w:type="firstCol">
      <w:rPr>
        <w:rFonts w:ascii="Times New Roman" w:hAnsi="Times New Roman" w:eastAsia="標楷體" w:cs="標楷體"/>
        <w:color w:val="FFFFFF" w:themeColor="background1"/>
      </w:rPr>
      <w:tblPr/>
      <w:tcPr>
        <w:shd w:val="clear" w:color="auto" w:fill="365F91" w:themeFill="accent1" w:themeFillShade="BF"/>
      </w:tcPr>
    </w:tblStylePr>
    <w:tblStylePr w:type="lastCol">
      <w:rPr>
        <w:rFonts w:ascii="Times New Roman" w:hAnsi="Times New Roman" w:eastAsia="標楷體" w:cs="標楷體"/>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標楷體" w:cs="標楷體"/>
        <w:b/>
        <w:bCs/>
      </w:rPr>
      <w:tblPr/>
      <w:tcPr>
        <w:shd w:val="clear" w:color="auto" w:fill="E5B8B7" w:themeFill="accent2" w:themeFillTint="66"/>
      </w:tcPr>
    </w:tblStylePr>
    <w:tblStylePr w:type="lastRow">
      <w:rPr>
        <w:rFonts w:ascii="Times New Roman" w:hAnsi="Times New Roman" w:eastAsia="標楷體" w:cs="標楷體"/>
        <w:b/>
        <w:bCs/>
        <w:color w:val="000000" w:themeColor="text1"/>
      </w:rPr>
      <w:tblPr/>
      <w:tcPr>
        <w:shd w:val="clear" w:color="auto" w:fill="E5B8B7" w:themeFill="accent2" w:themeFillTint="66"/>
      </w:tcPr>
    </w:tblStylePr>
    <w:tblStylePr w:type="firstCol">
      <w:rPr>
        <w:rFonts w:ascii="Times New Roman" w:hAnsi="Times New Roman" w:eastAsia="標楷體" w:cs="標楷體"/>
        <w:color w:val="FFFFFF" w:themeColor="background1"/>
      </w:rPr>
      <w:tblPr/>
      <w:tcPr>
        <w:shd w:val="clear" w:color="auto" w:fill="943634" w:themeFill="accent2" w:themeFillShade="BF"/>
      </w:tcPr>
    </w:tblStylePr>
    <w:tblStylePr w:type="lastCol">
      <w:rPr>
        <w:rFonts w:ascii="Times New Roman" w:hAnsi="Times New Roman" w:eastAsia="標楷體" w:cs="標楷體"/>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標楷體" w:cs="標楷體"/>
        <w:b/>
        <w:bCs/>
      </w:rPr>
      <w:tblPr/>
      <w:tcPr>
        <w:shd w:val="clear" w:color="auto" w:fill="D6E3BC" w:themeFill="accent3" w:themeFillTint="66"/>
      </w:tcPr>
    </w:tblStylePr>
    <w:tblStylePr w:type="lastRow">
      <w:rPr>
        <w:rFonts w:ascii="Times New Roman" w:hAnsi="Times New Roman" w:eastAsia="標楷體" w:cs="標楷體"/>
        <w:b/>
        <w:bCs/>
        <w:color w:val="000000" w:themeColor="text1"/>
      </w:rPr>
      <w:tblPr/>
      <w:tcPr>
        <w:shd w:val="clear" w:color="auto" w:fill="D6E3BC" w:themeFill="accent3" w:themeFillTint="66"/>
      </w:tcPr>
    </w:tblStylePr>
    <w:tblStylePr w:type="firstCol">
      <w:rPr>
        <w:rFonts w:ascii="Times New Roman" w:hAnsi="Times New Roman" w:eastAsia="標楷體" w:cs="標楷體"/>
        <w:color w:val="FFFFFF" w:themeColor="background1"/>
      </w:rPr>
      <w:tblPr/>
      <w:tcPr>
        <w:shd w:val="clear" w:color="auto" w:fill="76923C" w:themeFill="accent3" w:themeFillShade="BF"/>
      </w:tcPr>
    </w:tblStylePr>
    <w:tblStylePr w:type="lastCol">
      <w:rPr>
        <w:rFonts w:ascii="Times New Roman" w:hAnsi="Times New Roman" w:eastAsia="標楷體" w:cs="標楷體"/>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標楷體" w:cs="標楷體"/>
        <w:b/>
        <w:bCs/>
      </w:rPr>
      <w:tblPr/>
      <w:tcPr>
        <w:shd w:val="clear" w:color="auto" w:fill="CCC0D9" w:themeFill="accent4" w:themeFillTint="66"/>
      </w:tcPr>
    </w:tblStylePr>
    <w:tblStylePr w:type="lastRow">
      <w:rPr>
        <w:rFonts w:ascii="Times New Roman" w:hAnsi="Times New Roman" w:eastAsia="標楷體" w:cs="標楷體"/>
        <w:b/>
        <w:bCs/>
        <w:color w:val="000000" w:themeColor="text1"/>
      </w:rPr>
      <w:tblPr/>
      <w:tcPr>
        <w:shd w:val="clear" w:color="auto" w:fill="CCC0D9" w:themeFill="accent4" w:themeFillTint="66"/>
      </w:tcPr>
    </w:tblStylePr>
    <w:tblStylePr w:type="firstCol">
      <w:rPr>
        <w:rFonts w:ascii="Times New Roman" w:hAnsi="Times New Roman" w:eastAsia="標楷體" w:cs="標楷體"/>
        <w:color w:val="FFFFFF" w:themeColor="background1"/>
      </w:rPr>
      <w:tblPr/>
      <w:tcPr>
        <w:shd w:val="clear" w:color="auto" w:fill="5F497A" w:themeFill="accent4" w:themeFillShade="BF"/>
      </w:tcPr>
    </w:tblStylePr>
    <w:tblStylePr w:type="lastCol">
      <w:rPr>
        <w:rFonts w:ascii="Times New Roman" w:hAnsi="Times New Roman" w:eastAsia="標楷體" w:cs="標楷體"/>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標楷體" w:cs="標楷體"/>
        <w:b/>
        <w:bCs/>
      </w:rPr>
      <w:tblPr/>
      <w:tcPr>
        <w:shd w:val="clear" w:color="auto" w:fill="B6DDE8" w:themeFill="accent5" w:themeFillTint="66"/>
      </w:tcPr>
    </w:tblStylePr>
    <w:tblStylePr w:type="lastRow">
      <w:rPr>
        <w:rFonts w:ascii="Times New Roman" w:hAnsi="Times New Roman" w:eastAsia="標楷體" w:cs="標楷體"/>
        <w:b/>
        <w:bCs/>
        <w:color w:val="000000" w:themeColor="text1"/>
      </w:rPr>
      <w:tblPr/>
      <w:tcPr>
        <w:shd w:val="clear" w:color="auto" w:fill="B6DDE8" w:themeFill="accent5" w:themeFillTint="66"/>
      </w:tcPr>
    </w:tblStylePr>
    <w:tblStylePr w:type="firstCol">
      <w:rPr>
        <w:rFonts w:ascii="Times New Roman" w:hAnsi="Times New Roman" w:eastAsia="標楷體" w:cs="標楷體"/>
        <w:color w:val="FFFFFF" w:themeColor="background1"/>
      </w:rPr>
      <w:tblPr/>
      <w:tcPr>
        <w:shd w:val="clear" w:color="auto" w:fill="31849B" w:themeFill="accent5" w:themeFillShade="BF"/>
      </w:tcPr>
    </w:tblStylePr>
    <w:tblStylePr w:type="lastCol">
      <w:rPr>
        <w:rFonts w:ascii="Times New Roman" w:hAnsi="Times New Roman" w:eastAsia="標楷體" w:cs="標楷體"/>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標楷體" w:cs="標楷體"/>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標楷體" w:cs="標楷體"/>
        <w:b/>
        <w:bCs/>
      </w:rPr>
      <w:tblPr/>
      <w:tcPr>
        <w:shd w:val="clear" w:color="auto" w:fill="FBD4B4" w:themeFill="accent6" w:themeFillTint="66"/>
      </w:tcPr>
    </w:tblStylePr>
    <w:tblStylePr w:type="lastRow">
      <w:rPr>
        <w:rFonts w:ascii="Times New Roman" w:hAnsi="Times New Roman" w:eastAsia="標楷體" w:cs="標楷體"/>
        <w:b/>
        <w:bCs/>
        <w:color w:val="000000" w:themeColor="text1"/>
      </w:rPr>
      <w:tblPr/>
      <w:tcPr>
        <w:shd w:val="clear" w:color="auto" w:fill="FBD4B4" w:themeFill="accent6" w:themeFillTint="66"/>
      </w:tcPr>
    </w:tblStylePr>
    <w:tblStylePr w:type="firstCol">
      <w:rPr>
        <w:rFonts w:ascii="Times New Roman" w:hAnsi="Times New Roman" w:eastAsia="標楷體" w:cs="標楷體"/>
        <w:color w:val="FFFFFF" w:themeColor="background1"/>
      </w:rPr>
      <w:tblPr/>
      <w:tcPr>
        <w:shd w:val="clear" w:color="auto" w:fill="E36C0A" w:themeFill="accent6" w:themeFillShade="BF"/>
      </w:tcPr>
    </w:tblStylePr>
    <w:tblStylePr w:type="lastCol">
      <w:rPr>
        <w:rFonts w:ascii="Times New Roman" w:hAnsi="Times New Roman" w:eastAsia="標楷體" w:cs="標楷體"/>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nttu_watermark.png"/></Relationships>
</file>

<file path=word/_rels/header2.xml.rels><?xml version='1.0' encoding='UTF-8' standalone='yes'?>
<Relationships xmlns="http://schemas.openxmlformats.org/package/2006/relationships"><Relationship Id="rId1" Type="http://schemas.openxmlformats.org/officeDocument/2006/relationships/image" Target="media/nttu_waterma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