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b/>
          <w:color w:val="2D5F8B"/>
          <w:sz w:val="44"/>
        </w:rPr>
        <w:t>DIKWP–MESH8.1</w:t>
      </w:r>
    </w:p>
    <w:p>
      <w:pPr>
        <w:spacing w:before="320"/>
        <w:jc w:val="center"/>
      </w:pPr>
      <w:r>
        <w:rPr>
          <w:rFonts w:ascii="Noto Sans CJK SC" w:hAnsi="Noto Sans CJK SC" w:eastAsia="Noto Sans CJK SC"/>
          <w:b/>
          <w:color w:val="17324D"/>
          <w:sz w:val="56"/>
        </w:rPr>
        <w:t>浦东中医主动诊疗平台</w:t>
      </w:r>
    </w:p>
    <w:p>
      <w:pPr>
        <w:jc w:val="center"/>
      </w:pPr>
      <w:r>
        <w:rPr>
          <w:color w:val="5D6B78"/>
          <w:sz w:val="30"/>
        </w:rPr>
        <w:t>全面升级、医院互联与可实施架构</w:t>
      </w:r>
    </w:p>
    <w:p>
      <w:pPr>
        <w:spacing w:before="560"/>
        <w:jc w:val="center"/>
      </w:pPr>
      <w:r>
        <w:rPr>
          <w:b/>
          <w:color w:val="A97932"/>
          <w:sz w:val="40"/>
        </w:rPr>
        <w:t>技术实施报告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36"/>
      </w:tblGrid>
      <w:tr>
        <w:tc>
          <w:tcPr>
            <w:tcW w:type="dxa" w:w="9525"/>
            <w:shd w:fill="2D5F8B"/>
          </w:tcPr>
          <w:p>
            <w:r/>
          </w:p>
        </w:tc>
      </w:tr>
    </w:tbl>
    <w:p>
      <w:pPr>
        <w:spacing w:before="2600"/>
        <w:jc w:val="center"/>
      </w:pPr>
    </w:p>
    <w:p>
      <w:pPr>
        <w:jc w:val="center"/>
      </w:pPr>
      <w:r>
        <w:rPr>
          <w:color w:val="5D6B78"/>
          <w:sz w:val="20"/>
        </w:rPr>
        <w:t>版本：v2.0.0</w:t>
      </w:r>
    </w:p>
    <w:p>
      <w:pPr>
        <w:jc w:val="center"/>
      </w:pPr>
      <w:r>
        <w:rPr>
          <w:color w:val="5D6B78"/>
          <w:sz w:val="20"/>
        </w:rPr>
        <w:t>日期：2026年8月</w:t>
      </w:r>
    </w:p>
    <w:p>
      <w:pPr>
        <w:jc w:val="center"/>
      </w:pPr>
      <w:r>
        <w:rPr>
          <w:color w:val="5D6B78"/>
          <w:sz w:val="20"/>
        </w:rPr>
        <w:t>原始开源项目：Yucong Duan GitHub / DIKWP-Mesh-4.1-Pudong-ActiveTCM-28Path</w:t>
      </w:r>
    </w:p>
    <w:p>
      <w:pPr>
        <w:jc w:val="center"/>
      </w:pPr>
      <w:r>
        <w:rPr>
          <w:color w:val="5D6B78"/>
          <w:sz w:val="20"/>
        </w:rPr>
        <w:t>交付状态：合成数据可运行、可联调参考实现；非医院正式上线系统</w:t>
      </w:r>
    </w:p>
    <w:p>
      <w:r>
        <w:br w:type="page"/>
      </w:r>
    </w:p>
    <w:p>
      <w:pPr>
        <w:pStyle w:val="Heading1"/>
      </w:pPr>
      <w:r>
        <w:t>重要边界声明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CEDEA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8A3B27"/>
                <w:sz w:val="21"/>
              </w:rPr>
              <w:t>本交付不是浦东新区中医医院正式委托、采购、验收或上线系统；未连接真实 HIS、EMR、LIS、PACS、统一身份、电子签名、号源、床位、药房或院内网络；不含真实患者数据、真实证书或厂商私有参数。系统坚持临床人员在环，不自动诊断、开方、确定剂量、选择穴位、提交医嘱或处置急诊。任何生产使用均需院方完成接口、临床、安全、数据、运维和管理验收。</w:t>
            </w:r>
          </w:p>
        </w:tc>
      </w:tr>
    </w:tbl>
    <w:p/>
    <w:p>
      <w:pPr>
        <w:pStyle w:val="Heading1"/>
      </w:pPr>
      <w:r>
        <w:t>执行摘要</w:t>
      </w:r>
    </w:p>
    <w:p>
      <w:r>
        <w:t>本次工作不是在原型上追加若干接口，而是把原项目重构为双层系统：原 ActiveTCM 临床工作流内核继续承载主动采集、四诊表达、病种路径、人工诊疗方案、康复与转诊；新增 MESH8.1 院内集成网关专门承担协议、身份、主数据、可靠消息、语义映射、同意、签名、暂存和审计。</w:t>
      </w:r>
    </w:p>
    <w:p>
      <w:r>
        <w:t>升级后的关键改进是把“数据已到达”“技术上可转换”“患者已正确匹配”“用途被允许”“临床人员已确认”“医院权威系统已执行”六种状态分离。任何一层缺失都不会被一个总体置信分数掩盖，外部数据不能直接成为诊断、处方或医嘱。</w:t>
      </w:r>
    </w:p>
    <w:p>
      <w:r>
        <w:t>工程包已提供 FHIR R4、HL7 v2/MLLP、CDA R2、DICOMweb、REST/Webhook 和安全文件交换适配层，支持保守 MPI、幂等重试、死信、外部电子签名信封、统一身份代理、D/I/K/W/P 语义护照、OpenAPI、联调沙箱、部署模板和自动化验收。</w:t>
      </w:r>
    </w:p>
    <w:p>
      <w:r>
        <w:t>由于未取得浦东新区中医医院真实厂商接口文档、网络、证书、主数据和患者数据，本交付不能被描述为已经接入医院生产系统。现场实施应以接口契约冻结、合成沙箱、SIT、UAT、限定试运行和分批上线为序，首期优先选择患者/就诊只读同步、LIS 结果入站、PACS 目录只读查询和转诊状态同步等低风险闭环。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9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nical_safety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打开文档后右键此处并选择“更新域”，即可生成完整目录。</w:t>
        <w:fldChar w:fldCharType="end"/>
      </w:r>
    </w:p>
    <w:p>
      <w:r>
        <w:br w:type="page"/>
      </w:r>
    </w:p>
    <w:p>
      <w:pPr>
        <w:pStyle w:val="Heading1"/>
      </w:pPr>
      <w:r>
        <w:t>交付总览</w:t>
      </w:r>
    </w:p>
    <w:p>
      <w:pPr>
        <w:pStyle w:val="Heading2"/>
      </w:pPr>
      <w:r>
        <w:t>一、交付目标</w:t>
      </w:r>
    </w:p>
    <w:p>
      <w:r>
        <w:rPr>
          <w:i w:val="0"/>
        </w:rPr>
        <w:t>本发行版把原有“浦东新区中医医院 28 优势病种主动诊疗—主动康复—双向转诊”公共信息定制原型，升级为可在隔离环境中演示、可与院内接口沙箱联调、可按医院条件部署、可审计并可继续实施适配的工程包。升级不改变临床责任边界：系统不自动诊断、不自动开方、不自动提交医嘱，不替代医师、护士、康复治疗师、药师、电子病历、电子签名或医院质量管理制度。</w:t>
      </w:r>
    </w:p>
    <w:p>
      <w:pPr>
        <w:pStyle w:val="Heading2"/>
      </w:pPr>
      <w:r>
        <w:t>二、交付物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vAlign w:val="center"/>
            <w:shd w:fill="2D5F8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3175"/>
            <w:vAlign w:val="center"/>
            <w:shd w:fill="2D5F8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3175"/>
            <w:vAlign w:val="center"/>
            <w:shd w:fill="2D5F8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完整源代码与运行包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根目录及 `pudong_tcm/`、`pudong_integration/`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原临床内核与新增互联控制面</w:t>
            </w:r>
          </w:p>
        </w:tc>
      </w:tr>
      <w:tr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原系统留档</w:t>
            </w:r>
          </w:p>
        </w:tc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`README_ORIGINAL_v1.0.0.md`</w:t>
            </w:r>
          </w:p>
        </w:tc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版本追溯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集成控制台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`web_integration/`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接口、队列、MPI、审计与暂存运营</w:t>
            </w:r>
          </w:p>
        </w:tc>
      </w:tr>
      <w:tr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接口契约</w:t>
            </w:r>
          </w:p>
        </w:tc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`openapi.integration.json`</w:t>
            </w:r>
          </w:p>
        </w:tc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REST/FHIR 联调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连接器模板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`config/connectors/`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HIS、LIS、PACS、IdP、电子签名、文件交换</w:t>
            </w:r>
          </w:p>
        </w:tc>
      </w:tr>
      <w:tr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字段映射模板</w:t>
            </w:r>
          </w:p>
        </w:tc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`config/mappings/`</w:t>
            </w:r>
          </w:p>
        </w:tc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厂商字段到规范模型的可审计映射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合成样例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`examples/integration/`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FHIR、HL7、CDA、Webhook、签名联调</w:t>
            </w:r>
          </w:p>
        </w:tc>
      </w:tr>
      <w:tr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自动化测试</w:t>
            </w:r>
          </w:p>
        </w:tc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`tests/`、`tests_integration/`、`tools/`</w:t>
            </w:r>
          </w:p>
        </w:tc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回归、协议、接口、审计与打包验证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部署模板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`deploy/`、`Dockerfile.mesh81`、`docker-compose.mesh81.yml`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本地、容器、systemd、Kubernetes</w:t>
            </w:r>
          </w:p>
        </w:tc>
      </w:tr>
      <w:tr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完整文档</w:t>
            </w:r>
          </w:p>
        </w:tc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`docs/mesh81/`</w:t>
            </w:r>
          </w:p>
        </w:tc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实施、用户、运维、验收、故障排查</w:t>
            </w:r>
          </w:p>
        </w:tc>
      </w:tr>
    </w:tbl>
    <w:p/>
    <w:p>
      <w:pPr>
        <w:pStyle w:val="Heading2"/>
      </w:pPr>
      <w:r>
        <w:t>三、升级后的系统边界</w:t>
      </w:r>
    </w:p>
    <w:p>
      <w:pPr>
        <w:pStyle w:val="Heading3"/>
      </w:pPr>
      <w:r>
        <w:t>已实现的通用能力</w:t>
      </w:r>
    </w:p>
    <w:p>
      <w:pPr>
        <w:pStyle w:val="ListNumber"/>
      </w:pPr>
      <w:r>
        <w:rPr>
          <w:i w:val="0"/>
        </w:rPr>
        <w:t>可配置、可停用、可替换的连接器；</w:t>
      </w:r>
    </w:p>
    <w:p>
      <w:pPr>
        <w:pStyle w:val="ListNumber"/>
      </w:pPr>
      <w:r>
        <w:rPr>
          <w:i w:val="0"/>
        </w:rPr>
        <w:t>标准协议与传统医院协议并存；</w:t>
      </w:r>
    </w:p>
    <w:p>
      <w:pPr>
        <w:pStyle w:val="ListNumber"/>
      </w:pPr>
      <w:r>
        <w:rPr>
          <w:i w:val="0"/>
        </w:rPr>
        <w:t>每条消息的幂等、状态、重试、死信和审计；</w:t>
      </w:r>
    </w:p>
    <w:p>
      <w:pPr>
        <w:pStyle w:val="ListNumber"/>
      </w:pPr>
      <w:r>
        <w:rPr>
          <w:i w:val="0"/>
        </w:rPr>
        <w:t>患者标识不确定性显式保留，禁止自动不可逆合并；</w:t>
      </w:r>
    </w:p>
    <w:p>
      <w:pPr>
        <w:pStyle w:val="ListNumber"/>
      </w:pPr>
      <w:r>
        <w:rPr>
          <w:i w:val="0"/>
        </w:rPr>
        <w:t>外部数据到临床内核之间设置可逆暂存与人工批准；</w:t>
      </w:r>
    </w:p>
    <w:p>
      <w:pPr>
        <w:pStyle w:val="ListNumber"/>
      </w:pPr>
      <w:r>
        <w:rPr>
          <w:i w:val="0"/>
        </w:rPr>
        <w:t>每次转换记录原始载荷摘要、来源、映射版本、语义残差、目的和权限；</w:t>
      </w:r>
    </w:p>
    <w:p>
      <w:pPr>
        <w:pStyle w:val="ListNumber"/>
      </w:pPr>
      <w:r>
        <w:rPr>
          <w:i w:val="0"/>
        </w:rPr>
        <w:t>演示环境可不依赖第三方 Python 包运行。</w:t>
      </w:r>
    </w:p>
    <w:p>
      <w:pPr>
        <w:pStyle w:val="Heading3"/>
      </w:pPr>
      <w:r>
        <w:t>仍需院方/厂商提供的现场条件</w:t>
      </w:r>
    </w:p>
    <w:p>
      <w:pPr>
        <w:pStyle w:val="ListBullet"/>
      </w:pPr>
      <w:r>
        <w:rPr>
          <w:i w:val="0"/>
        </w:rPr>
        <w:t>真实接口文档、字段定义、代码集、测试账号和证书；</w:t>
      </w:r>
    </w:p>
    <w:p>
      <w:pPr>
        <w:pStyle w:val="ListBullet"/>
      </w:pPr>
      <w:r>
        <w:rPr>
          <w:i w:val="0"/>
        </w:rPr>
        <w:t>网络区划、防火墙、域名、TLS/国密策略、时间同步、日志接收地址；</w:t>
      </w:r>
    </w:p>
    <w:p>
      <w:pPr>
        <w:pStyle w:val="ListBullet"/>
      </w:pPr>
      <w:r>
        <w:rPr>
          <w:i w:val="0"/>
        </w:rPr>
        <w:t>统一身份、组织、科室、人员、患者、就诊等主数据权威源；</w:t>
      </w:r>
    </w:p>
    <w:p>
      <w:pPr>
        <w:pStyle w:val="ListBullet"/>
      </w:pPr>
      <w:r>
        <w:rPr>
          <w:i w:val="0"/>
        </w:rPr>
        <w:t>医疗文书签名、处方、医嘱、药品、检验、影像、号源、床位的生产规则；</w:t>
      </w:r>
    </w:p>
    <w:p>
      <w:pPr>
        <w:pStyle w:val="ListBullet"/>
      </w:pPr>
      <w:r>
        <w:rPr>
          <w:i w:val="0"/>
        </w:rPr>
        <w:t>数据使用授权、保留期限、脱敏方案、容灾指标和上线审批；</w:t>
      </w:r>
    </w:p>
    <w:p>
      <w:pPr>
        <w:pStyle w:val="ListBullet"/>
      </w:pPr>
      <w:r>
        <w:rPr>
          <w:i w:val="0"/>
        </w:rPr>
        <w:t>SIT、UAT、性能、安全、临床和运维验收。</w:t>
      </w:r>
    </w:p>
    <w:p>
      <w:pPr>
        <w:pStyle w:val="Heading2"/>
      </w:pPr>
      <w:r>
        <w:t>四、建议试点范围</w:t>
      </w:r>
    </w:p>
    <w:p>
      <w:r>
        <w:rPr>
          <w:i w:val="0"/>
        </w:rPr>
        <w:t>首个试点应选择低风险、可回滚、数据量可控的闭环，例如：</w:t>
      </w:r>
    </w:p>
    <w:p>
      <w:pPr>
        <w:pStyle w:val="ListBullet"/>
      </w:pPr>
      <w:r>
        <w:rPr>
          <w:i w:val="0"/>
        </w:rPr>
        <w:t>HIS/EMR 患者与就诊只读同步；</w:t>
      </w:r>
    </w:p>
    <w:p>
      <w:pPr>
        <w:pStyle w:val="ListBullet"/>
      </w:pPr>
      <w:r>
        <w:rPr>
          <w:i w:val="0"/>
        </w:rPr>
        <w:t>LIS 检验结果 ORU 或 FHIR Observation 入站；</w:t>
      </w:r>
    </w:p>
    <w:p>
      <w:pPr>
        <w:pStyle w:val="ListBullet"/>
      </w:pPr>
      <w:r>
        <w:rPr>
          <w:i w:val="0"/>
        </w:rPr>
        <w:t>PACS 影像目录 QIDO 只读查询；</w:t>
      </w:r>
    </w:p>
    <w:p>
      <w:pPr>
        <w:pStyle w:val="ListBullet"/>
      </w:pPr>
      <w:r>
        <w:rPr>
          <w:i w:val="0"/>
        </w:rPr>
        <w:t>康复随访任务回传到集成暂存区，不直接写回医嘱；</w:t>
      </w:r>
    </w:p>
    <w:p>
      <w:pPr>
        <w:pStyle w:val="ListBullet"/>
      </w:pPr>
      <w:r>
        <w:rPr>
          <w:i w:val="0"/>
        </w:rPr>
        <w:t>双向转诊工单状态同步，但不预占号源或床位。</w:t>
      </w:r>
    </w:p>
    <w:p>
      <w:r>
        <w:rPr>
          <w:i w:val="0"/>
        </w:rPr>
        <w:t>在上述环节完成数据一致性、身份匹配、权限、审计、故障恢复和人工复核后，再逐步扩大写回范围。</w:t>
      </w:r>
    </w:p>
    <w:p>
      <w:r>
        <w:br w:type="page"/>
      </w:r>
    </w:p>
    <w:p>
      <w:pPr>
        <w:pStyle w:val="Heading1"/>
      </w:pPr>
      <w:r>
        <w:t>全面升级分析与目标架构</w:t>
      </w:r>
    </w:p>
    <w:p>
      <w:pPr>
        <w:pStyle w:val="Heading2"/>
      </w:pPr>
      <w:r>
        <w:t>1. 原项目价值</w:t>
      </w:r>
    </w:p>
    <w:p>
      <w:r>
        <w:rPr>
          <w:i w:val="0"/>
        </w:rPr>
        <w:t>原项目已经建立了一个较完整的中医主动健康工作流原型：28 个优势病种工作流容器、5 个院本能力扩展包、主动采集、四诊表达账本、多病种并行路径、人工诊疗方案、康复与随访、转诊、FHIR 导出、乐观并发控制和哈希审计链。其最重要的工程价值并非“替代医院系统”，而是把中医连续照护中的意图、观察、路径、人工决策、康复任务、转诊和残差形成可检查的数据结构。</w:t>
      </w:r>
    </w:p>
    <w:p>
      <w:pPr>
        <w:pStyle w:val="Heading2"/>
      </w:pPr>
      <w:r>
        <w:t>2. 原项目进入医院环境前的主要缺口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81"/>
            <w:vAlign w:val="center"/>
            <w:shd w:fill="2D5F8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2381"/>
            <w:vAlign w:val="center"/>
            <w:shd w:fill="2D5F8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原型状态</w:t>
            </w:r>
          </w:p>
        </w:tc>
        <w:tc>
          <w:tcPr>
            <w:tcW w:type="dxa" w:w="2381"/>
            <w:vAlign w:val="center"/>
            <w:shd w:fill="2D5F8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生产缺口</w:t>
            </w:r>
          </w:p>
        </w:tc>
        <w:tc>
          <w:tcPr>
            <w:tcW w:type="dxa" w:w="2381"/>
            <w:vAlign w:val="center"/>
            <w:shd w:fill="2D5F8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本次升级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接口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单一 REST 与 FHIR 导出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缺少双向、传统协议和厂商适配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FHIR、HL7 v2、CDA、DICOMweb、REST、Webhook、文件交换</w:t>
            </w:r>
          </w:p>
        </w:tc>
      </w:tr>
      <w:tr>
        <w:tc>
          <w:tcPr>
            <w:tcW w:type="dxa" w:w="238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主索引</w:t>
            </w:r>
          </w:p>
        </w:tc>
        <w:tc>
          <w:tcPr>
            <w:tcW w:type="dxa" w:w="238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病例内部标识</w:t>
            </w:r>
          </w:p>
        </w:tc>
        <w:tc>
          <w:tcPr>
            <w:tcW w:type="dxa" w:w="238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多系统患者号冲突、重复和误并风险</w:t>
            </w:r>
          </w:p>
        </w:tc>
        <w:tc>
          <w:tcPr>
            <w:tcW w:type="dxa" w:w="238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保守 MPI、候选匹配、人工链接、标识掩码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身份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演示账号/令牌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未接统一身份、组织和真实角色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可信代理、签名令牌、IdP 连接模板、角色映射</w:t>
            </w:r>
          </w:p>
        </w:tc>
      </w:tr>
      <w:tr>
        <w:tc>
          <w:tcPr>
            <w:tcW w:type="dxa" w:w="238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可靠性</w:t>
            </w:r>
          </w:p>
        </w:tc>
        <w:tc>
          <w:tcPr>
            <w:tcW w:type="dxa" w:w="238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直接同步调用</w:t>
            </w:r>
          </w:p>
        </w:tc>
        <w:tc>
          <w:tcPr>
            <w:tcW w:type="dxa" w:w="238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超时、重复、乱序、对方停机</w:t>
            </w:r>
          </w:p>
        </w:tc>
        <w:tc>
          <w:tcPr>
            <w:tcW w:type="dxa" w:w="238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幂等、租约、重试、死信、重放、连接器健康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签名/同意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演示角色标签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无真实签名、用途和授权证明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同意记录、用途门、摘要签名信封、外部平台适配</w:t>
            </w:r>
          </w:p>
        </w:tc>
      </w:tr>
      <w:tr>
        <w:tc>
          <w:tcPr>
            <w:tcW w:type="dxa" w:w="238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临床安全</w:t>
            </w:r>
          </w:p>
        </w:tc>
        <w:tc>
          <w:tcPr>
            <w:tcW w:type="dxa" w:w="238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人员在环</w:t>
            </w:r>
          </w:p>
        </w:tc>
        <w:tc>
          <w:tcPr>
            <w:tcW w:type="dxa" w:w="238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外部数据直接写入可能绕过复核</w:t>
            </w:r>
          </w:p>
        </w:tc>
        <w:tc>
          <w:tcPr>
            <w:tcW w:type="dxa" w:w="238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暂存—审核—批准/驳回桥接；高影响写回默认禁用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可观测性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应用审计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缺接口级指标、队列和协议追踪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控制台、健康检查、指标、审计链、请求 ID</w:t>
            </w:r>
          </w:p>
        </w:tc>
      </w:tr>
      <w:tr>
        <w:tc>
          <w:tcPr>
            <w:tcW w:type="dxa" w:w="238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数据治理</w:t>
            </w:r>
          </w:p>
        </w:tc>
        <w:tc>
          <w:tcPr>
            <w:tcW w:type="dxa" w:w="238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病例 JSON</w:t>
            </w:r>
          </w:p>
        </w:tc>
        <w:tc>
          <w:tcPr>
            <w:tcW w:type="dxa" w:w="238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映射版本、来源、残差不充分</w:t>
            </w:r>
          </w:p>
        </w:tc>
        <w:tc>
          <w:tcPr>
            <w:tcW w:type="dxa" w:w="238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规范信封、映射版本、原始摘要、语义护照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部署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 Python/Docker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缺院内部署、备份、容灾模板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Docker、Nginx、systemd、K8s、备份恢复和上线清单</w:t>
            </w:r>
          </w:p>
        </w:tc>
      </w:tr>
    </w:tbl>
    <w:p/>
    <w:p>
      <w:pPr>
        <w:pStyle w:val="Heading2"/>
      </w:pPr>
      <w:r>
        <w:t>3. 目标架构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72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deBlock"/>
      </w:pPr>
      <w:r>
        <w:t>患者端/医护端/原临床工作台</w:t>
        <w:br/>
        <w:t xml:space="preserve">              │</w:t>
        <w:br/>
        <w:t xml:space="preserve">              ▼</w:t>
        <w:br/>
        <w:t>┌──────────────────────────────────────────────┐</w:t>
        <w:br/>
        <w:t>│ 原 ActiveTCM 临床工作流内核（8788）          │</w:t>
        <w:br/>
        <w:t>│ 主动采集｜四诊账本｜路径｜人工方案｜康复｜转诊 │</w:t>
        <w:br/>
        <w:t>└──────────────────────────────────────────────┘</w:t>
        <w:br/>
        <w:t xml:space="preserve">              ▲ 仅经审核桥接</w:t>
        <w:br/>
        <w:t xml:space="preserve">              │</w:t>
        <w:br/>
        <w:t>┌──────────────────────────────────────────────┐</w:t>
        <w:br/>
        <w:t>│ MESH8.1 院内集成网关（8790）                 │</w:t>
        <w:br/>
        <w:t>│ 规范信封｜D/I/K/W/P 语义护照｜字段映射        │</w:t>
        <w:br/>
        <w:t>│ MPI｜同意｜签名信封｜暂存审批｜审计链          │</w:t>
        <w:br/>
        <w:t>│ 可靠队列｜重试｜死信｜连接器健康｜运维控制台   │</w:t>
        <w:br/>
        <w:t>└──────────────────────────────────────────────┘</w:t>
        <w:br/>
        <w:t xml:space="preserve">   ▲             ▲              ▲             ▲</w:t>
        <w:br/>
        <w:t xml:space="preserve">   │ FHIR/HL7    │ CDA/DICOMweb │ REST/Webhook│ 文件/MFT</w:t>
        <w:br/>
        <w:t xml:space="preserve">   │             │              │             │</w:t>
        <w:br/>
        <w:t xml:space="preserve"> HIS/EMR       LIS/RIS/PACS     IdP/电子签名   区域平台/厂商系统</w:t>
      </w:r>
    </w:p>
    <w:p>
      <w:pPr>
        <w:pStyle w:val="Heading3"/>
      </w:pPr>
      <w:r>
        <w:t>3.1 解耦原则</w:t>
      </w:r>
    </w:p>
    <w:p>
      <w:r>
        <w:rPr>
          <w:i w:val="0"/>
        </w:rPr>
        <w:t>临床内核不直接持有每一家厂商的连接参数；集成网关不直接形成临床结论。这样可以：</w:t>
      </w:r>
    </w:p>
    <w:p>
      <w:pPr>
        <w:pStyle w:val="ListBullet"/>
      </w:pPr>
      <w:r>
        <w:rPr>
          <w:i w:val="0"/>
        </w:rPr>
        <w:t>更换 HIS/LIS/PACS 厂商时只替换连接器和映射；</w:t>
      </w:r>
    </w:p>
    <w:p>
      <w:pPr>
        <w:pStyle w:val="ListBullet"/>
      </w:pPr>
      <w:r>
        <w:rPr>
          <w:i w:val="0"/>
        </w:rPr>
        <w:t>接口故障时不破坏临床病例主数据；</w:t>
      </w:r>
    </w:p>
    <w:p>
      <w:pPr>
        <w:pStyle w:val="ListBullet"/>
      </w:pPr>
      <w:r>
        <w:rPr>
          <w:i w:val="0"/>
        </w:rPr>
        <w:t>使映射残差、身份不确定性和权限不足显式存在；</w:t>
      </w:r>
    </w:p>
    <w:p>
      <w:pPr>
        <w:pStyle w:val="ListBullet"/>
      </w:pPr>
      <w:r>
        <w:rPr>
          <w:i w:val="0"/>
        </w:rPr>
        <w:t>将生产写回控制在医院现有授权、签名和责任链内；</w:t>
      </w:r>
    </w:p>
    <w:p>
      <w:pPr>
        <w:pStyle w:val="ListBullet"/>
      </w:pPr>
      <w:r>
        <w:rPr>
          <w:i w:val="0"/>
        </w:rPr>
        <w:t>对每次转换和人工批准进行独立审计。</w:t>
      </w:r>
    </w:p>
    <w:p>
      <w:pPr>
        <w:pStyle w:val="Heading2"/>
      </w:pPr>
      <w:r>
        <w:t>4. MESH8.1 语义护照</w:t>
      </w:r>
    </w:p>
    <w:p>
      <w:r>
        <w:rPr>
          <w:i w:val="0"/>
        </w:rPr>
        <w:t>每条入站/出站消息都可附带五个显式位置：</w:t>
      </w:r>
    </w:p>
    <w:p>
      <w:pPr>
        <w:pStyle w:val="ListBullet"/>
      </w:pPr>
      <w:r>
        <w:rPr>
          <w:i w:val="0"/>
        </w:rPr>
        <w:t>D（同）：哪些标识、字段和关系被声明为保持同一；</w:t>
      </w:r>
    </w:p>
    <w:p>
      <w:pPr>
        <w:pStyle w:val="ListBullet"/>
      </w:pPr>
      <w:r>
        <w:rPr>
          <w:i w:val="0"/>
        </w:rPr>
        <w:t>I（异）：哪些值、版本、单位、代码或观察者不同；</w:t>
      </w:r>
    </w:p>
    <w:p>
      <w:pPr>
        <w:pStyle w:val="ListBullet"/>
      </w:pPr>
      <w:r>
        <w:rPr>
          <w:i w:val="0"/>
        </w:rPr>
        <w:t>K（整）：当前任务下形成了怎样的完整上下文；</w:t>
      </w:r>
    </w:p>
    <w:p>
      <w:pPr>
        <w:pStyle w:val="ListBullet"/>
      </w:pPr>
      <w:r>
        <w:rPr>
          <w:i w:val="0"/>
        </w:rPr>
        <w:t>W（值）：用途限制、最小必要、临床安全、数据质量和伦理约束；</w:t>
      </w:r>
    </w:p>
    <w:p>
      <w:pPr>
        <w:pStyle w:val="ListBullet"/>
      </w:pPr>
      <w:r>
        <w:rPr>
          <w:i w:val="0"/>
        </w:rPr>
        <w:t>P（意）：为何接收、转换、暂存、查询或发送，以及允许的输出动作。</w:t>
      </w:r>
    </w:p>
    <w:p>
      <w:r>
        <w:rPr>
          <w:i w:val="0"/>
        </w:rPr>
        <w:t>语义护照不是一个可抵消风险的总分。缺失身份、目的、权限或人工复核时，不允许用“总体置信度较高”掩盖该缺口。未给出的内容保持未给出；映射无法表达的内容进入残差账本。</w:t>
      </w:r>
    </w:p>
    <w:p>
      <w:pPr>
        <w:pStyle w:val="Heading2"/>
      </w:pPr>
      <w:r>
        <w:t>5. 接口分层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49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face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9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5.1 传输层</w:t>
      </w:r>
    </w:p>
    <w:p>
      <w:r>
        <w:rPr>
          <w:i w:val="0"/>
        </w:rPr>
        <w:t>HTTPS/mTLS、MLLP、院方 MFT/SFTP 挂载目录、反向代理、消息总线适配点。</w:t>
      </w:r>
    </w:p>
    <w:p>
      <w:pPr>
        <w:pStyle w:val="Heading3"/>
      </w:pPr>
      <w:r>
        <w:t>5.2 协议层</w:t>
      </w:r>
    </w:p>
    <w:p>
      <w:r>
        <w:rPr>
          <w:i w:val="0"/>
        </w:rPr>
        <w:t>FHIR R4、HL7 v2 ER7、CDA R2、DICOMweb、REST/JSON、JSONL/CSV。</w:t>
      </w:r>
    </w:p>
    <w:p>
      <w:pPr>
        <w:pStyle w:val="Heading3"/>
      </w:pPr>
      <w:r>
        <w:t>5.3 规范模型层</w:t>
      </w:r>
    </w:p>
    <w:p>
      <w:r>
        <w:rPr>
          <w:i w:val="0"/>
        </w:rPr>
        <w:t>患者、就诊、观察、报告、文档、预约、任务、服务请求、用药请求、影像目录、同意、来源和审计等资源。</w:t>
      </w:r>
    </w:p>
    <w:p>
      <w:pPr>
        <w:pStyle w:val="Heading3"/>
      </w:pPr>
      <w:r>
        <w:t>5.4 语义与治理层</w:t>
      </w:r>
    </w:p>
    <w:p>
      <w:r>
        <w:rPr>
          <w:i w:val="0"/>
        </w:rPr>
        <w:t>字段映射、代码映射、单位处理、身份匹配、目的限制、权限、同意、签名、残差和版本追溯。</w:t>
      </w:r>
    </w:p>
    <w:p>
      <w:pPr>
        <w:pStyle w:val="Heading3"/>
      </w:pPr>
      <w:r>
        <w:t>5.5 临床桥接层</w:t>
      </w:r>
    </w:p>
    <w:p>
      <w:r>
        <w:rPr>
          <w:i w:val="0"/>
        </w:rPr>
        <w:t>所有高影响信息先暂存；持有相应角色的人员核对来源、患者、就诊、时间、单位、状态和用途后批准或驳回。批准并不等于自动形成诊断、处方或医嘱。</w:t>
      </w:r>
    </w:p>
    <w:p>
      <w:pPr>
        <w:pStyle w:val="Heading2"/>
      </w:pPr>
      <w:r>
        <w:t>6. 数据流示例</w:t>
      </w:r>
    </w:p>
    <w:p>
      <w:pPr>
        <w:pStyle w:val="Heading3"/>
      </w:pPr>
      <w:r>
        <w:t>6.1 LIS 检验结果</w:t>
      </w:r>
    </w:p>
    <w:p>
      <w:pPr>
        <w:pStyle w:val="ListNumber"/>
      </w:pPr>
      <w:r>
        <w:rPr>
          <w:i w:val="0"/>
        </w:rPr>
        <w:t>LIS 发送 ORU^R01；</w:t>
      </w:r>
    </w:p>
    <w:p>
      <w:pPr>
        <w:pStyle w:val="ListNumber"/>
      </w:pPr>
      <w:r>
        <w:rPr>
          <w:i w:val="0"/>
        </w:rPr>
        <w:t>HL7 解析器校验 MSH/PID/OBR/OBX；</w:t>
      </w:r>
    </w:p>
    <w:p>
      <w:pPr>
        <w:pStyle w:val="ListNumber"/>
      </w:pPr>
      <w:r>
        <w:rPr>
          <w:i w:val="0"/>
        </w:rPr>
        <w:t>MPI 用患者号等标识解析患者；</w:t>
      </w:r>
    </w:p>
    <w:p>
      <w:pPr>
        <w:pStyle w:val="ListNumber"/>
      </w:pPr>
      <w:r>
        <w:rPr>
          <w:i w:val="0"/>
        </w:rPr>
        <w:t>映射为 Observation/DiagnosticReport 暂存资源；</w:t>
      </w:r>
    </w:p>
    <w:p>
      <w:pPr>
        <w:pStyle w:val="ListNumber"/>
      </w:pPr>
      <w:r>
        <w:rPr>
          <w:i w:val="0"/>
        </w:rPr>
        <w:t>保存原始消息摘要、消息控制号、映射版本和残差；</w:t>
      </w:r>
    </w:p>
    <w:p>
      <w:pPr>
        <w:pStyle w:val="ListNumber"/>
      </w:pPr>
      <w:r>
        <w:rPr>
          <w:i w:val="0"/>
        </w:rPr>
        <w:t>生成 ACK；</w:t>
      </w:r>
    </w:p>
    <w:p>
      <w:pPr>
        <w:pStyle w:val="ListNumber"/>
      </w:pPr>
      <w:r>
        <w:rPr>
          <w:i w:val="0"/>
        </w:rPr>
        <w:t>授权人员确认单位、参考范围、结果状态和患者归属；</w:t>
      </w:r>
    </w:p>
    <w:p>
      <w:pPr>
        <w:pStyle w:val="ListNumber"/>
      </w:pPr>
      <w:r>
        <w:rPr>
          <w:i w:val="0"/>
        </w:rPr>
        <w:t>需要进入临床工作流时，经暂存桥接批准。</w:t>
      </w:r>
    </w:p>
    <w:p>
      <w:pPr>
        <w:pStyle w:val="Heading3"/>
      </w:pPr>
      <w:r>
        <w:t>6.2 PACS 影像目录</w:t>
      </w:r>
    </w:p>
    <w:p>
      <w:pPr>
        <w:pStyle w:val="ListNumber"/>
      </w:pPr>
      <w:r>
        <w:rPr>
          <w:i w:val="0"/>
        </w:rPr>
        <w:t>使用 QIDO 查询研究/序列/实例元数据；</w:t>
      </w:r>
    </w:p>
    <w:p>
      <w:pPr>
        <w:pStyle w:val="ListNumber"/>
      </w:pPr>
      <w:r>
        <w:rPr>
          <w:i w:val="0"/>
        </w:rPr>
        <w:t>不默认下载像素数据；</w:t>
      </w:r>
    </w:p>
    <w:p>
      <w:pPr>
        <w:pStyle w:val="ListNumber"/>
      </w:pPr>
      <w:r>
        <w:rPr>
          <w:i w:val="0"/>
        </w:rPr>
        <w:t>WADO 查询由权限和目的控制；</w:t>
      </w:r>
    </w:p>
    <w:p>
      <w:pPr>
        <w:pStyle w:val="ListNumber"/>
      </w:pPr>
      <w:r>
        <w:rPr>
          <w:i w:val="0"/>
        </w:rPr>
        <w:t>STOW 默认关闭；</w:t>
      </w:r>
    </w:p>
    <w:p>
      <w:pPr>
        <w:pStyle w:val="ListNumber"/>
      </w:pPr>
      <w:r>
        <w:rPr>
          <w:i w:val="0"/>
        </w:rPr>
        <w:t>ImagingStudy/DiagnosticReport 只作为影像索引和报告关联，不替代影像诊断系统。</w:t>
      </w:r>
    </w:p>
    <w:p>
      <w:pPr>
        <w:pStyle w:val="Heading3"/>
      </w:pPr>
      <w:r>
        <w:t>6.3 双向转诊</w:t>
      </w:r>
    </w:p>
    <w:p>
      <w:pPr>
        <w:pStyle w:val="ListNumber"/>
      </w:pPr>
      <w:r>
        <w:rPr>
          <w:i w:val="0"/>
        </w:rPr>
        <w:t>临床人员在原系统形成转诊工单；</w:t>
      </w:r>
    </w:p>
    <w:p>
      <w:pPr>
        <w:pStyle w:val="ListNumber"/>
      </w:pPr>
      <w:r>
        <w:rPr>
          <w:i w:val="0"/>
        </w:rPr>
        <w:t>集成网关生成出站规范信封；</w:t>
      </w:r>
    </w:p>
    <w:p>
      <w:pPr>
        <w:pStyle w:val="ListNumber"/>
      </w:pPr>
      <w:r>
        <w:rPr>
          <w:i w:val="0"/>
        </w:rPr>
        <w:t>检查患者标识、目标机构、用途、同意和人工批准；</w:t>
      </w:r>
    </w:p>
    <w:p>
      <w:pPr>
        <w:pStyle w:val="ListNumber"/>
      </w:pPr>
      <w:r>
        <w:rPr>
          <w:i w:val="0"/>
        </w:rPr>
        <w:t>通过区域平台 REST/FHIR/文件连接器发送；</w:t>
      </w:r>
    </w:p>
    <w:p>
      <w:pPr>
        <w:pStyle w:val="ListNumber"/>
      </w:pPr>
      <w:r>
        <w:rPr>
          <w:i w:val="0"/>
        </w:rPr>
        <w:t>幂等键防止重复创建；</w:t>
      </w:r>
    </w:p>
    <w:p>
      <w:pPr>
        <w:pStyle w:val="ListNumber"/>
      </w:pPr>
      <w:r>
        <w:rPr>
          <w:i w:val="0"/>
        </w:rPr>
        <w:t>失败进入重试或死信；</w:t>
      </w:r>
    </w:p>
    <w:p>
      <w:pPr>
        <w:pStyle w:val="ListNumber"/>
      </w:pPr>
      <w:r>
        <w:rPr>
          <w:i w:val="0"/>
        </w:rPr>
        <w:t>对方回执更新工单状态，但不声称号源或床位已占用，除非真实接口明确返回并被院方确认。</w:t>
      </w:r>
    </w:p>
    <w:p>
      <w:pPr>
        <w:pStyle w:val="Heading2"/>
      </w:pPr>
      <w:r>
        <w:t>7. 非功能目标</w:t>
      </w:r>
    </w:p>
    <w:p>
      <w:r>
        <w:rPr>
          <w:i w:val="0"/>
        </w:rPr>
        <w:t>建议由院方在项目启动时把以下指标具体化：</w:t>
      </w:r>
    </w:p>
    <w:p>
      <w:pPr>
        <w:pStyle w:val="ListBullet"/>
      </w:pPr>
      <w:r>
        <w:rPr>
          <w:i w:val="0"/>
        </w:rPr>
        <w:t>可用性与恢复：RTO、RPO、备份频率、恢复演练；</w:t>
      </w:r>
    </w:p>
    <w:p>
      <w:pPr>
        <w:pStyle w:val="ListBullet"/>
      </w:pPr>
      <w:r>
        <w:rPr>
          <w:i w:val="0"/>
        </w:rPr>
        <w:t>性能：每类接口峰值 TPS、消息大小、P95/P99 延迟；</w:t>
      </w:r>
    </w:p>
    <w:p>
      <w:pPr>
        <w:pStyle w:val="ListBullet"/>
      </w:pPr>
      <w:r>
        <w:rPr>
          <w:i w:val="0"/>
        </w:rPr>
        <w:t>可靠性：幂等覆盖率、重试上限、死信处理时限；</w:t>
      </w:r>
    </w:p>
    <w:p>
      <w:pPr>
        <w:pStyle w:val="ListBullet"/>
      </w:pPr>
      <w:r>
        <w:rPr>
          <w:i w:val="0"/>
        </w:rPr>
        <w:t>安全：身份、最小权限、证书轮换、漏洞修复、审计留存；</w:t>
      </w:r>
    </w:p>
    <w:p>
      <w:pPr>
        <w:pStyle w:val="ListBullet"/>
      </w:pPr>
      <w:r>
        <w:rPr>
          <w:i w:val="0"/>
        </w:rPr>
        <w:t>数据：患者匹配准确性、字段完整率、代码映射覆盖率；</w:t>
      </w:r>
    </w:p>
    <w:p>
      <w:pPr>
        <w:pStyle w:val="ListBullet"/>
      </w:pPr>
      <w:r>
        <w:rPr>
          <w:i w:val="0"/>
        </w:rPr>
        <w:t>临床：人工复核时限、误关联零容忍、高影响动作双重确认；</w:t>
      </w:r>
    </w:p>
    <w:p>
      <w:pPr>
        <w:pStyle w:val="ListBullet"/>
      </w:pPr>
      <w:r>
        <w:rPr>
          <w:i w:val="0"/>
        </w:rPr>
        <w:t>运维：告警、容量、时间同步、日志接入、变更和回滚。</w:t>
      </w:r>
    </w:p>
    <w:p>
      <w:r>
        <w:rPr>
          <w:i w:val="0"/>
        </w:rPr>
        <w:t>本发行包给出机制和模板，不替医院确定具体生产 SLA。</w:t>
      </w:r>
    </w:p>
    <w:p>
      <w:r>
        <w:br w:type="page"/>
      </w:r>
    </w:p>
    <w:p>
      <w:pPr>
        <w:pStyle w:val="Heading1"/>
      </w:pPr>
      <w:r>
        <w:t>医院接口对接实施手册</w:t>
      </w:r>
    </w:p>
    <w:p>
      <w:pPr>
        <w:pStyle w:val="Heading2"/>
      </w:pPr>
      <w:r>
        <w:t>1. 对接前提</w:t>
      </w:r>
    </w:p>
    <w:p>
      <w:r>
        <w:rPr>
          <w:i w:val="0"/>
        </w:rPr>
        <w:t>本发行版没有浦东新区中医医院真实接口文档、网络、账号、证书和患者数据。因此交付的是可配置适配层、标准协议实现、沙箱和验收框架；真实上线必须由医院信息中心、业务科室、厂商、安全、法务/伦理和项目团队共同实施。</w:t>
      </w:r>
    </w:p>
    <w:p>
      <w:pPr>
        <w:pStyle w:val="Heading2"/>
      </w:pPr>
      <w:r>
        <w:t>2. 接口清单模板</w:t>
      </w:r>
    </w:p>
    <w:p>
      <w:r>
        <w:rPr>
          <w:i w:val="0"/>
        </w:rPr>
        <w:t>每个接口至少填写：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vAlign w:val="center"/>
            <w:shd w:fill="2D5F8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4762"/>
            <w:vAlign w:val="center"/>
            <w:shd w:fill="2D5F8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接口 ID/名称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唯一名称与业务名称</w:t>
            </w:r>
          </w:p>
        </w:tc>
      </w:tr>
      <w:tr>
        <w:tc>
          <w:tcPr>
            <w:tcW w:type="dxa" w:w="4762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源/目标系统</w:t>
            </w:r>
          </w:p>
        </w:tc>
        <w:tc>
          <w:tcPr>
            <w:tcW w:type="dxa" w:w="4762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厂商、版本、环境、负责人</w:t>
            </w:r>
          </w:p>
        </w:tc>
      </w:tr>
      <w:tr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业务事件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何时触发、谁负责、失败后如何处理</w:t>
            </w:r>
          </w:p>
        </w:tc>
      </w:tr>
      <w:tr>
        <w:tc>
          <w:tcPr>
            <w:tcW w:type="dxa" w:w="4762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方向</w:t>
            </w:r>
          </w:p>
        </w:tc>
        <w:tc>
          <w:tcPr>
            <w:tcW w:type="dxa" w:w="4762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入站、出站、双向</w:t>
            </w:r>
          </w:p>
        </w:tc>
      </w:tr>
      <w:tr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协议/传输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FHIR、HL7、CDA、DICOMweb、REST、文件；HTTPS、MLLP、MFT 等</w:t>
            </w:r>
          </w:p>
        </w:tc>
      </w:tr>
      <w:tr>
        <w:tc>
          <w:tcPr>
            <w:tcW w:type="dxa" w:w="4762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消息/资源</w:t>
            </w:r>
          </w:p>
        </w:tc>
        <w:tc>
          <w:tcPr>
            <w:tcW w:type="dxa" w:w="4762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ADT^A01、ORU^R01、Patient、Observation 等</w:t>
            </w:r>
          </w:p>
        </w:tc>
      </w:tr>
      <w:tr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主键/幂等键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消息控制号、业务单号、资源版本</w:t>
            </w:r>
          </w:p>
        </w:tc>
      </w:tr>
      <w:tr>
        <w:tc>
          <w:tcPr>
            <w:tcW w:type="dxa" w:w="4762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患者/就诊标识</w:t>
            </w:r>
          </w:p>
        </w:tc>
        <w:tc>
          <w:tcPr>
            <w:tcW w:type="dxa" w:w="4762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权威域、格式、跨院区规则</w:t>
            </w:r>
          </w:p>
        </w:tc>
      </w:tr>
      <w:tr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代码/单位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标准、本地码、版本和映射责任人</w:t>
            </w:r>
          </w:p>
        </w:tc>
      </w:tr>
      <w:tr>
        <w:tc>
          <w:tcPr>
            <w:tcW w:type="dxa" w:w="4762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</w:t>
            </w:r>
          </w:p>
        </w:tc>
        <w:tc>
          <w:tcPr>
            <w:tcW w:type="dxa" w:w="4762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mTLS、令牌、IP、签名、加密、密钥轮换</w:t>
            </w:r>
          </w:p>
        </w:tc>
      </w:tr>
      <w:tr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SLA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超时、重试、峰值、消息大小、可用性</w:t>
            </w:r>
          </w:p>
        </w:tc>
      </w:tr>
      <w:tr>
        <w:tc>
          <w:tcPr>
            <w:tcW w:type="dxa" w:w="4762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数据用途/保留</w:t>
            </w:r>
          </w:p>
        </w:tc>
        <w:tc>
          <w:tcPr>
            <w:tcW w:type="dxa" w:w="4762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最小必要、同意、保留、删除/撤回</w:t>
            </w:r>
          </w:p>
        </w:tc>
      </w:tr>
      <w:tr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写回级别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只读、暂存、人工批准、自动低风险字段</w:t>
            </w:r>
          </w:p>
        </w:tc>
      </w:tr>
      <w:tr>
        <w:tc>
          <w:tcPr>
            <w:tcW w:type="dxa" w:w="4762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验收</w:t>
            </w:r>
          </w:p>
        </w:tc>
        <w:tc>
          <w:tcPr>
            <w:tcW w:type="dxa" w:w="4762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正常、边界、错误、重复、乱序、恢复、性能</w:t>
            </w:r>
          </w:p>
        </w:tc>
      </w:tr>
    </w:tbl>
    <w:p/>
    <w:p>
      <w:pPr>
        <w:pStyle w:val="Heading2"/>
      </w:pPr>
      <w:r>
        <w:t>3. 各系统建议对接</w:t>
      </w:r>
    </w:p>
    <w:p>
      <w:pPr>
        <w:pStyle w:val="Heading3"/>
      </w:pPr>
      <w:r>
        <w:t>3.1 HIS/EMR</w:t>
      </w:r>
    </w:p>
    <w:p>
      <w:r>
        <w:rPr>
          <w:i w:val="0"/>
        </w:rPr>
        <w:t>优先接收患者、就诊、科室、医师、诊断/问题目录、文档索引和转诊状态。写回从低风险字段开始，如随访任务状态或经人工批准的结构化摘要。诊断、处方、医嘱和签名必须留在权威系统完成。</w:t>
      </w:r>
    </w:p>
    <w:p>
      <w:r>
        <w:rPr>
          <w:i w:val="0"/>
        </w:rPr>
        <w:t>可选协议：FHIR Patient/Encounter/Practitioner/Organization/Condition/DocumentReference/CarePlan/Task；HL7 ADT/MDM；厂商 REST。</w:t>
      </w:r>
    </w:p>
    <w:p>
      <w:pPr>
        <w:pStyle w:val="Heading3"/>
      </w:pPr>
      <w:r>
        <w:t>3.2 LIS</w:t>
      </w:r>
    </w:p>
    <w:p>
      <w:r>
        <w:rPr>
          <w:i w:val="0"/>
        </w:rPr>
        <w:t>接收检验申请状态、标本、结果和报告。必须处理结果状态（初步/最终/更正）、单位、参考范围、异常标志、检验时间和更正消息。仅解析数值不能丢失原报告语境。</w:t>
      </w:r>
    </w:p>
    <w:p>
      <w:r>
        <w:rPr>
          <w:i w:val="0"/>
        </w:rPr>
        <w:t>可选协议：HL7 ORU/OML，FHIR ServiceRequest/Specimen/Observation/DiagnosticReport。</w:t>
      </w:r>
    </w:p>
    <w:p>
      <w:pPr>
        <w:pStyle w:val="Heading3"/>
      </w:pPr>
      <w:r>
        <w:t>3.3 RIS/PACS</w:t>
      </w:r>
    </w:p>
    <w:p>
      <w:r>
        <w:rPr>
          <w:i w:val="0"/>
        </w:rPr>
        <w:t>同步影像申请、检查状态、报告与影像目录。DICOMweb 用于元数据和受控访问；影像像素数据通常不进入本系统数据库。患者标识和 Accession Number 映射必须经过验证。</w:t>
      </w:r>
    </w:p>
    <w:p>
      <w:pPr>
        <w:pStyle w:val="Heading3"/>
      </w:pPr>
      <w:r>
        <w:t>3.4 预约/号源/床位</w:t>
      </w:r>
    </w:p>
    <w:p>
      <w:r>
        <w:rPr>
          <w:i w:val="0"/>
        </w:rPr>
        <w:t>FHIR Appointment/Schedule/Slot/Location，HL7 SIU 或厂商 REST。只有当真实接口返回已确认状态且通过一致性校验时，才显示“已预约/已占用”；静态目录只能显示“候选/待确认”。</w:t>
      </w:r>
    </w:p>
    <w:p>
      <w:pPr>
        <w:pStyle w:val="Heading3"/>
      </w:pPr>
      <w:r>
        <w:t>3.5 药房/处方/医嘱</w:t>
      </w:r>
    </w:p>
    <w:p>
      <w:r>
        <w:rPr>
          <w:i w:val="0"/>
        </w:rPr>
        <w:t>建议首期只读。即使使用 MedicationRequest/MedicationDispense/ServiceRequest，也不得由本系统自治生成或提交。任何写入必须由院方授权、签名、规则引擎和药师/医师流程完成。</w:t>
      </w:r>
    </w:p>
    <w:p>
      <w:pPr>
        <w:pStyle w:val="Heading3"/>
      </w:pPr>
      <w:r>
        <w:t>3.6 统一身份与组织</w:t>
      </w:r>
    </w:p>
    <w:p>
      <w:r>
        <w:rPr>
          <w:i w:val="0"/>
        </w:rPr>
        <w:t>OIDC/SAML 通常在医院身份网关完成，本系统接收可信代理头或已验证令牌。组织、科室、人员和角色应从权威主数据同步。禁止把任意客户端头当作认证事实。</w:t>
      </w:r>
    </w:p>
    <w:p>
      <w:pPr>
        <w:pStyle w:val="Heading3"/>
      </w:pPr>
      <w:r>
        <w:t>3.7 电子签名</w:t>
      </w:r>
    </w:p>
    <w:p>
      <w:r>
        <w:rPr>
          <w:i w:val="0"/>
        </w:rPr>
        <w:t>本系统计算待签载荷摘要并调用外部签名平台，保存外部签名 ID、签署者、证书序列、时间、摘要和验证结果。真实签名格式、证书链、时间戳和法律效力由院方平台负责。</w:t>
      </w:r>
    </w:p>
    <w:p>
      <w:pPr>
        <w:pStyle w:val="Heading3"/>
      </w:pPr>
      <w:r>
        <w:t>3.8 区域平台/医联体</w:t>
      </w:r>
    </w:p>
    <w:p>
      <w:r>
        <w:rPr>
          <w:i w:val="0"/>
        </w:rPr>
        <w:t>转诊、共享文档和随访可通过 FHIR、CDA、REST 或受控文件交换。需明确患者同意、机构边界、共享范围、回执和撤回机制。</w:t>
      </w:r>
    </w:p>
    <w:p>
      <w:pPr>
        <w:pStyle w:val="Heading2"/>
      </w:pPr>
      <w:r>
        <w:t>4. 字段映射流程</w:t>
      </w:r>
    </w:p>
    <w:p>
      <w:pPr>
        <w:pStyle w:val="ListNumber"/>
      </w:pPr>
      <w:r>
        <w:rPr>
          <w:i w:val="0"/>
        </w:rPr>
        <w:t>获取真实接口样本和字段字典；</w:t>
      </w:r>
    </w:p>
    <w:p>
      <w:pPr>
        <w:pStyle w:val="ListNumber"/>
      </w:pPr>
      <w:r>
        <w:rPr>
          <w:i w:val="0"/>
        </w:rPr>
        <w:t>标注必填、可选、重复、条件和废弃字段；</w:t>
      </w:r>
    </w:p>
    <w:p>
      <w:pPr>
        <w:pStyle w:val="ListNumber"/>
      </w:pPr>
      <w:r>
        <w:rPr>
          <w:i w:val="0"/>
        </w:rPr>
        <w:t>确定患者、就诊、申请、报告和消息主键；</w:t>
      </w:r>
    </w:p>
    <w:p>
      <w:pPr>
        <w:pStyle w:val="ListNumber"/>
      </w:pPr>
      <w:r>
        <w:rPr>
          <w:i w:val="0"/>
        </w:rPr>
        <w:t>确定代码集、单位、日期、时区和字符集；</w:t>
      </w:r>
    </w:p>
    <w:p>
      <w:pPr>
        <w:pStyle w:val="ListNumber"/>
      </w:pPr>
      <w:r>
        <w:rPr>
          <w:i w:val="0"/>
        </w:rPr>
        <w:t>建立源—规范—目标映射；</w:t>
      </w:r>
    </w:p>
    <w:p>
      <w:pPr>
        <w:pStyle w:val="ListNumber"/>
      </w:pPr>
      <w:r>
        <w:rPr>
          <w:i w:val="0"/>
        </w:rPr>
        <w:t>对不可表达项建立残差字段，而不是丢弃；</w:t>
      </w:r>
    </w:p>
    <w:p>
      <w:pPr>
        <w:pStyle w:val="ListNumber"/>
      </w:pPr>
      <w:r>
        <w:rPr>
          <w:i w:val="0"/>
        </w:rPr>
        <w:t>版本化并由业务/技术双签；</w:t>
      </w:r>
    </w:p>
    <w:p>
      <w:pPr>
        <w:pStyle w:val="ListNumber"/>
      </w:pPr>
      <w:r>
        <w:rPr>
          <w:i w:val="0"/>
        </w:rPr>
        <w:t>执行往返测试、边界测试和历史样本回放；</w:t>
      </w:r>
    </w:p>
    <w:p>
      <w:pPr>
        <w:pStyle w:val="ListNumber"/>
      </w:pPr>
      <w:r>
        <w:rPr>
          <w:i w:val="0"/>
        </w:rPr>
        <w:t>上线后监控未知代码和映射失败。</w:t>
      </w:r>
    </w:p>
    <w:p>
      <w:pPr>
        <w:pStyle w:val="Heading2"/>
      </w:pPr>
      <w:r>
        <w:t>5. 幂等和顺序</w:t>
      </w:r>
    </w:p>
    <w:p>
      <w:pPr>
        <w:pStyle w:val="ListBullet"/>
      </w:pPr>
      <w:r>
        <w:rPr>
          <w:i w:val="0"/>
        </w:rPr>
        <w:t>HL7 使用发送应用 + 设施 + 消息控制号；</w:t>
      </w:r>
    </w:p>
    <w:p>
      <w:pPr>
        <w:pStyle w:val="ListBullet"/>
      </w:pPr>
      <w:r>
        <w:rPr>
          <w:i w:val="0"/>
        </w:rPr>
        <w:t>FHIR 使用资源 ID/version 或业务标识；</w:t>
      </w:r>
    </w:p>
    <w:p>
      <w:pPr>
        <w:pStyle w:val="ListBullet"/>
      </w:pPr>
      <w:r>
        <w:rPr>
          <w:i w:val="0"/>
        </w:rPr>
        <w:t>REST 使用事件 ID/业务单号；</w:t>
      </w:r>
    </w:p>
    <w:p>
      <w:pPr>
        <w:pStyle w:val="ListBullet"/>
      </w:pPr>
      <w:r>
        <w:rPr>
          <w:i w:val="0"/>
        </w:rPr>
        <w:t>文件使用来源、文件名、批次、摘要；</w:t>
      </w:r>
    </w:p>
    <w:p>
      <w:pPr>
        <w:pStyle w:val="ListBullet"/>
      </w:pPr>
      <w:r>
        <w:rPr>
          <w:i w:val="0"/>
        </w:rPr>
        <w:t>更正/撤销消息不能被当作重复丢弃；</w:t>
      </w:r>
    </w:p>
    <w:p>
      <w:pPr>
        <w:pStyle w:val="ListBullet"/>
      </w:pPr>
      <w:r>
        <w:rPr>
          <w:i w:val="0"/>
        </w:rPr>
        <w:t>乱序消息应暂存并根据事件时间/版本处理；</w:t>
      </w:r>
    </w:p>
    <w:p>
      <w:pPr>
        <w:pStyle w:val="ListBullet"/>
      </w:pPr>
      <w:r>
        <w:rPr>
          <w:i w:val="0"/>
        </w:rPr>
        <w:t>对方超时不等于失败，重试前先查询或使用幂等键。</w:t>
      </w:r>
    </w:p>
    <w:p>
      <w:pPr>
        <w:pStyle w:val="Heading2"/>
      </w:pPr>
      <w:r>
        <w:t>6. 错误与 ACK</w:t>
      </w:r>
    </w:p>
    <w:p>
      <w:r>
        <w:rPr>
          <w:i w:val="0"/>
        </w:rPr>
        <w:t>错误分为：</w:t>
      </w:r>
    </w:p>
    <w:p>
      <w:pPr>
        <w:pStyle w:val="ListBullet"/>
      </w:pPr>
      <w:r>
        <w:rPr>
          <w:i w:val="0"/>
        </w:rPr>
        <w:t>可重试：网络、超时、对方 5xx、临时限流；</w:t>
      </w:r>
    </w:p>
    <w:p>
      <w:pPr>
        <w:pStyle w:val="ListBullet"/>
      </w:pPr>
      <w:r>
        <w:rPr>
          <w:i w:val="0"/>
        </w:rPr>
        <w:t>不可重试：认证失败、字段非法、未知患者、违反用途、禁用动作；</w:t>
      </w:r>
    </w:p>
    <w:p>
      <w:pPr>
        <w:pStyle w:val="ListBullet"/>
      </w:pPr>
      <w:r>
        <w:rPr>
          <w:i w:val="0"/>
        </w:rPr>
        <w:t>需人工：患者候选、代码不确定、对方执行状态不明、签名校验异常。</w:t>
      </w:r>
    </w:p>
    <w:p>
      <w:r>
        <w:rPr>
          <w:i w:val="0"/>
        </w:rPr>
        <w:t>HL7 ACK 应返回应用接受/错误/拒绝及错误位置；REST/FHIR 应返回结构化错误。错误日志不得暴露不必要 PHI。</w:t>
      </w:r>
    </w:p>
    <w:p>
      <w:pPr>
        <w:pStyle w:val="Heading2"/>
      </w:pPr>
      <w:r>
        <w:t>7. 安全联调</w:t>
      </w:r>
    </w:p>
    <w:p>
      <w:pPr>
        <w:pStyle w:val="ListBullet"/>
      </w:pPr>
      <w:r>
        <w:rPr>
          <w:i w:val="0"/>
        </w:rPr>
        <w:t>仅使用隔离测试环境和合成/脱敏患者；</w:t>
      </w:r>
    </w:p>
    <w:p>
      <w:pPr>
        <w:pStyle w:val="ListBullet"/>
      </w:pPr>
      <w:r>
        <w:rPr>
          <w:i w:val="0"/>
        </w:rPr>
        <w:t>证书和密钥通过受控渠道交付；</w:t>
      </w:r>
    </w:p>
    <w:p>
      <w:pPr>
        <w:pStyle w:val="ListBullet"/>
      </w:pPr>
      <w:r>
        <w:rPr>
          <w:i w:val="0"/>
        </w:rPr>
        <w:t>明确 IP、端口、方向、DNS 和时间同步；</w:t>
      </w:r>
    </w:p>
    <w:p>
      <w:pPr>
        <w:pStyle w:val="ListBullet"/>
      </w:pPr>
      <w:r>
        <w:rPr>
          <w:i w:val="0"/>
        </w:rPr>
        <w:t>对 webhook 验证签名、时间戳和重放 nonce；</w:t>
      </w:r>
    </w:p>
    <w:p>
      <w:pPr>
        <w:pStyle w:val="ListBullet"/>
      </w:pPr>
      <w:r>
        <w:rPr>
          <w:i w:val="0"/>
        </w:rPr>
        <w:t>对文件验证摘要、批次、权限和原子落盘；</w:t>
      </w:r>
    </w:p>
    <w:p>
      <w:pPr>
        <w:pStyle w:val="ListBullet"/>
      </w:pPr>
      <w:r>
        <w:rPr>
          <w:i w:val="0"/>
        </w:rPr>
        <w:t>对 XML 禁用外部实体；</w:t>
      </w:r>
    </w:p>
    <w:p>
      <w:pPr>
        <w:pStyle w:val="ListBullet"/>
      </w:pPr>
      <w:r>
        <w:rPr>
          <w:i w:val="0"/>
        </w:rPr>
        <w:t>对 DICOM 限制查询和下载范围；</w:t>
      </w:r>
    </w:p>
    <w:p>
      <w:pPr>
        <w:pStyle w:val="ListBullet"/>
      </w:pPr>
      <w:r>
        <w:rPr>
          <w:i w:val="0"/>
        </w:rPr>
        <w:t>记录每次访问的主体、目的、对象和结果。</w:t>
      </w:r>
    </w:p>
    <w:p>
      <w:pPr>
        <w:pStyle w:val="Heading2"/>
      </w:pPr>
      <w:r>
        <w:t>8. 联调阶段</w:t>
      </w:r>
    </w:p>
    <w:p>
      <w:pPr>
        <w:pStyle w:val="Heading3"/>
      </w:pPr>
      <w:r>
        <w:t>阶段 A：契约冻结</w:t>
      </w:r>
    </w:p>
    <w:p>
      <w:r>
        <w:rPr>
          <w:i w:val="0"/>
        </w:rPr>
        <w:t>完成接口清单、样本、映射、代码集、角色、用途和验收用例。</w:t>
      </w:r>
    </w:p>
    <w:p>
      <w:pPr>
        <w:pStyle w:val="Heading3"/>
      </w:pPr>
      <w:r>
        <w:t>阶段 B：沙箱</w:t>
      </w:r>
    </w:p>
    <w:p>
      <w:r>
        <w:rPr>
          <w:i w:val="0"/>
        </w:rPr>
        <w:t>在本发行版沙箱中通过正常、缺失、错误、重复、乱序、超大、未授权和回滚测试。</w:t>
      </w:r>
    </w:p>
    <w:p>
      <w:pPr>
        <w:pStyle w:val="Heading3"/>
      </w:pPr>
      <w:r>
        <w:t>阶段 C：SIT</w:t>
      </w:r>
    </w:p>
    <w:p>
      <w:r>
        <w:rPr>
          <w:i w:val="0"/>
        </w:rPr>
        <w:t>连接厂商测试环境，验证端到端传输、ACK、幂等、重试、时间、编码、证书和故障恢复。</w:t>
      </w:r>
    </w:p>
    <w:p>
      <w:pPr>
        <w:pStyle w:val="Heading3"/>
      </w:pPr>
      <w:r>
        <w:t>阶段 D：UAT</w:t>
      </w:r>
    </w:p>
    <w:p>
      <w:r>
        <w:rPr>
          <w:i w:val="0"/>
        </w:rPr>
        <w:t>业务人员用合成/脱敏病例验证界面、临床暂存、人工复核、转诊和异常流程。</w:t>
      </w:r>
    </w:p>
    <w:p>
      <w:pPr>
        <w:pStyle w:val="Heading3"/>
      </w:pPr>
      <w:r>
        <w:t>阶段 E：受控试运行</w:t>
      </w:r>
    </w:p>
    <w:p>
      <w:r>
        <w:rPr>
          <w:i w:val="0"/>
        </w:rPr>
        <w:t>限定科室、病种、用户、时间和数据类型；高影响写回关闭；每日复盘未决匹配、死信和审计。</w:t>
      </w:r>
    </w:p>
    <w:p>
      <w:pPr>
        <w:pStyle w:val="Heading3"/>
      </w:pPr>
      <w:r>
        <w:t>阶段 F：正式上线</w:t>
      </w:r>
    </w:p>
    <w:p>
      <w:r>
        <w:rPr>
          <w:i w:val="0"/>
        </w:rPr>
        <w:t>通过安全、临床、信息、运维、数据和管理审批后分批开放。每次扩大范围都需重新评估。</w:t>
      </w:r>
    </w:p>
    <w:p>
      <w:r>
        <w:br w:type="page"/>
      </w:r>
    </w:p>
    <w:p>
      <w:pPr>
        <w:pStyle w:val="Heading1"/>
      </w:pPr>
      <w:r>
        <w:t>测试验收与上线清单</w:t>
      </w:r>
    </w:p>
    <w:p>
      <w:pPr>
        <w:pStyle w:val="Heading2"/>
      </w:pPr>
      <w:r>
        <w:t>1. 验收层级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vAlign w:val="center"/>
            <w:shd w:fill="2D5F8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175"/>
            <w:vAlign w:val="center"/>
            <w:shd w:fill="2D5F8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验证内容</w:t>
            </w:r>
          </w:p>
        </w:tc>
        <w:tc>
          <w:tcPr>
            <w:tcW w:type="dxa" w:w="3175"/>
            <w:vAlign w:val="center"/>
            <w:shd w:fill="2D5F8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不能替代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单元/静态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解析、映射、权限、审计、边界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真实厂商互操作</w:t>
            </w:r>
          </w:p>
        </w:tc>
      </w:tr>
      <w:tr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合成端到端</w:t>
            </w:r>
          </w:p>
        </w:tc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API、队列、MPI、暂存、恢复</w:t>
            </w:r>
          </w:p>
        </w:tc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真实患者/临床验证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SIT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医院测试环境接口与故障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业务接受</w:t>
            </w:r>
          </w:p>
        </w:tc>
      </w:tr>
      <w:tr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UAT</w:t>
            </w:r>
          </w:p>
        </w:tc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医护/运维流程和人因</w:t>
            </w:r>
          </w:p>
        </w:tc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监管/临床试验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安全测试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配置、身份、传输、漏洞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持续安全运营</w:t>
            </w:r>
          </w:p>
        </w:tc>
      </w:tr>
      <w:tr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试运行</w:t>
            </w:r>
          </w:p>
        </w:tc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限定范围真实运行</w:t>
            </w:r>
          </w:p>
        </w:tc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全院上线结论</w:t>
            </w:r>
          </w:p>
        </w:tc>
      </w:tr>
    </w:tbl>
    <w:p/>
    <w:p>
      <w:pPr>
        <w:pStyle w:val="Heading2"/>
      </w:pPr>
      <w:r>
        <w:t>2. 必测协议用例</w:t>
      </w:r>
    </w:p>
    <w:p>
      <w:pPr>
        <w:pStyle w:val="Heading3"/>
      </w:pPr>
      <w:r>
        <w:t>FHIR</w:t>
      </w:r>
    </w:p>
    <w:p>
      <w:pPr>
        <w:pStyle w:val="ListBullet"/>
      </w:pPr>
      <w:r>
        <w:rPr>
          <w:i w:val="0"/>
        </w:rPr>
        <w:t>CapabilityStatement；</w:t>
      </w:r>
    </w:p>
    <w:p>
      <w:pPr>
        <w:pStyle w:val="ListBullet"/>
      </w:pPr>
      <w:r>
        <w:rPr>
          <w:i w:val="0"/>
        </w:rPr>
        <w:t>单资源创建/更新/查询；</w:t>
      </w:r>
    </w:p>
    <w:p>
      <w:pPr>
        <w:pStyle w:val="ListBullet"/>
      </w:pPr>
      <w:r>
        <w:rPr>
          <w:i w:val="0"/>
        </w:rPr>
        <w:t>Batch/transaction Bundle；</w:t>
      </w:r>
    </w:p>
    <w:p>
      <w:pPr>
        <w:pStyle w:val="ListBullet"/>
      </w:pPr>
      <w:r>
        <w:rPr>
          <w:i w:val="0"/>
        </w:rPr>
        <w:t>条件/业务标识；</w:t>
      </w:r>
    </w:p>
    <w:p>
      <w:pPr>
        <w:pStyle w:val="ListBullet"/>
      </w:pPr>
      <w:r>
        <w:rPr>
          <w:i w:val="0"/>
        </w:rPr>
        <w:t>缺失必填、未知资源、超大载荷；</w:t>
      </w:r>
    </w:p>
    <w:p>
      <w:pPr>
        <w:pStyle w:val="ListBullet"/>
      </w:pPr>
      <w:r>
        <w:rPr>
          <w:i w:val="0"/>
        </w:rPr>
        <w:t>重复、版本冲突、未授权；</w:t>
      </w:r>
    </w:p>
    <w:p>
      <w:pPr>
        <w:pStyle w:val="ListBullet"/>
      </w:pPr>
      <w:r>
        <w:rPr>
          <w:i w:val="0"/>
        </w:rPr>
        <w:t>OperationOutcome/错误结构。</w:t>
      </w:r>
    </w:p>
    <w:p>
      <w:pPr>
        <w:pStyle w:val="Heading3"/>
      </w:pPr>
      <w:r>
        <w:t>HL7 v2</w:t>
      </w:r>
    </w:p>
    <w:p>
      <w:pPr>
        <w:pStyle w:val="ListBullet"/>
      </w:pPr>
      <w:r>
        <w:rPr>
          <w:i w:val="0"/>
        </w:rPr>
        <w:t>ADT A01/A03/A08；</w:t>
      </w:r>
    </w:p>
    <w:p>
      <w:pPr>
        <w:pStyle w:val="ListBullet"/>
      </w:pPr>
      <w:r>
        <w:rPr>
          <w:i w:val="0"/>
        </w:rPr>
        <w:t>ORU 最终/更正/撤销；</w:t>
      </w:r>
    </w:p>
    <w:p>
      <w:pPr>
        <w:pStyle w:val="ListBullet"/>
      </w:pPr>
      <w:r>
        <w:rPr>
          <w:i w:val="0"/>
        </w:rPr>
        <w:t>ORM/OML、SIU、MDM；</w:t>
      </w:r>
    </w:p>
    <w:p>
      <w:pPr>
        <w:pStyle w:val="ListBullet"/>
      </w:pPr>
      <w:r>
        <w:rPr>
          <w:i w:val="0"/>
        </w:rPr>
        <w:t>ACK AA/AE/AR；</w:t>
      </w:r>
    </w:p>
    <w:p>
      <w:pPr>
        <w:pStyle w:val="ListBullet"/>
      </w:pPr>
      <w:r>
        <w:rPr>
          <w:i w:val="0"/>
        </w:rPr>
        <w:t>重复控制号、乱序、字符集、转义、多 OBX；</w:t>
      </w:r>
    </w:p>
    <w:p>
      <w:pPr>
        <w:pStyle w:val="ListBullet"/>
      </w:pPr>
      <w:r>
        <w:rPr>
          <w:i w:val="0"/>
        </w:rPr>
        <w:t>无 PID、错误版本、超长消息、非允许发送应用。</w:t>
      </w:r>
    </w:p>
    <w:p>
      <w:pPr>
        <w:pStyle w:val="Heading3"/>
      </w:pPr>
      <w:r>
        <w:t>CDA</w:t>
      </w:r>
    </w:p>
    <w:p>
      <w:pPr>
        <w:pStyle w:val="ListBullet"/>
      </w:pPr>
      <w:r>
        <w:rPr>
          <w:i w:val="0"/>
        </w:rPr>
        <w:t>正常文档；</w:t>
      </w:r>
    </w:p>
    <w:p>
      <w:pPr>
        <w:pStyle w:val="ListBullet"/>
      </w:pPr>
      <w:r>
        <w:rPr>
          <w:i w:val="0"/>
        </w:rPr>
        <w:t>缺患者/作者/时间；</w:t>
      </w:r>
    </w:p>
    <w:p>
      <w:pPr>
        <w:pStyle w:val="ListBullet"/>
      </w:pPr>
      <w:r>
        <w:rPr>
          <w:i w:val="0"/>
        </w:rPr>
        <w:t>未知章节；</w:t>
      </w:r>
    </w:p>
    <w:p>
      <w:pPr>
        <w:pStyle w:val="ListBullet"/>
      </w:pPr>
      <w:r>
        <w:rPr>
          <w:i w:val="0"/>
        </w:rPr>
        <w:t>外部实体/DOCTYPE 攻击；</w:t>
      </w:r>
    </w:p>
    <w:p>
      <w:pPr>
        <w:pStyle w:val="ListBullet"/>
      </w:pPr>
      <w:r>
        <w:rPr>
          <w:i w:val="0"/>
        </w:rPr>
        <w:t>文档摘要与签名状态。</w:t>
      </w:r>
    </w:p>
    <w:p>
      <w:pPr>
        <w:pStyle w:val="Heading3"/>
      </w:pPr>
      <w:r>
        <w:t>DICOMweb</w:t>
      </w:r>
    </w:p>
    <w:p>
      <w:pPr>
        <w:pStyle w:val="ListBullet"/>
      </w:pPr>
      <w:r>
        <w:rPr>
          <w:i w:val="0"/>
        </w:rPr>
        <w:t>QIDO 条件查询；</w:t>
      </w:r>
    </w:p>
    <w:p>
      <w:pPr>
        <w:pStyle w:val="ListBullet"/>
      </w:pPr>
      <w:r>
        <w:rPr>
          <w:i w:val="0"/>
        </w:rPr>
        <w:t>WADO 元数据/实例权限；</w:t>
      </w:r>
    </w:p>
    <w:p>
      <w:pPr>
        <w:pStyle w:val="ListBullet"/>
      </w:pPr>
      <w:r>
        <w:rPr>
          <w:i w:val="0"/>
        </w:rPr>
        <w:t>无权患者/研究；</w:t>
      </w:r>
    </w:p>
    <w:p>
      <w:pPr>
        <w:pStyle w:val="ListBullet"/>
      </w:pPr>
      <w:r>
        <w:rPr>
          <w:i w:val="0"/>
        </w:rPr>
        <w:t>超大对象；</w:t>
      </w:r>
    </w:p>
    <w:p>
      <w:pPr>
        <w:pStyle w:val="ListBullet"/>
      </w:pPr>
      <w:r>
        <w:rPr>
          <w:i w:val="0"/>
        </w:rPr>
        <w:t>STOW 默认拒绝及审批后测试。</w:t>
      </w:r>
    </w:p>
    <w:p>
      <w:pPr>
        <w:pStyle w:val="Heading2"/>
      </w:pPr>
      <w:r>
        <w:t>3. 可靠性用例</w:t>
      </w:r>
    </w:p>
    <w:p>
      <w:pPr>
        <w:pStyle w:val="ListBullet"/>
      </w:pPr>
      <w:r>
        <w:rPr>
          <w:i w:val="0"/>
        </w:rPr>
        <w:t>同一消息重复 10 次只形成一次业务动作；</w:t>
      </w:r>
    </w:p>
    <w:p>
      <w:pPr>
        <w:pStyle w:val="ListBullet"/>
      </w:pPr>
      <w:r>
        <w:rPr>
          <w:i w:val="0"/>
        </w:rPr>
        <w:t>对方 5xx/超时进入指数退避；</w:t>
      </w:r>
    </w:p>
    <w:p>
      <w:pPr>
        <w:pStyle w:val="ListBullet"/>
      </w:pPr>
      <w:r>
        <w:rPr>
          <w:i w:val="0"/>
        </w:rPr>
        <w:t>达到上限进入死信；</w:t>
      </w:r>
    </w:p>
    <w:p>
      <w:pPr>
        <w:pStyle w:val="ListBullet"/>
      </w:pPr>
      <w:r>
        <w:rPr>
          <w:i w:val="0"/>
        </w:rPr>
        <w:t>修复后重放保留原始审计；</w:t>
      </w:r>
    </w:p>
    <w:p>
      <w:pPr>
        <w:pStyle w:val="ListBullet"/>
      </w:pPr>
      <w:r>
        <w:rPr>
          <w:i w:val="0"/>
        </w:rPr>
        <w:t>进程中断后租约过期可恢复；</w:t>
      </w:r>
    </w:p>
    <w:p>
      <w:pPr>
        <w:pStyle w:val="ListBullet"/>
      </w:pPr>
      <w:r>
        <w:rPr>
          <w:i w:val="0"/>
        </w:rPr>
        <w:t>对方已执行但响应丢失时不盲目重复；</w:t>
      </w:r>
    </w:p>
    <w:p>
      <w:pPr>
        <w:pStyle w:val="ListBullet"/>
      </w:pPr>
      <w:r>
        <w:rPr>
          <w:i w:val="0"/>
        </w:rPr>
        <w:t>队列恢复不破坏顺序要求。</w:t>
      </w:r>
    </w:p>
    <w:p>
      <w:pPr>
        <w:pStyle w:val="Heading2"/>
      </w:pPr>
      <w:r>
        <w:t>4. MPI 用例</w:t>
      </w:r>
    </w:p>
    <w:p>
      <w:pPr>
        <w:pStyle w:val="ListBullet"/>
      </w:pPr>
      <w:r>
        <w:rPr>
          <w:i w:val="0"/>
        </w:rPr>
        <w:t>权威患者号精确命中；</w:t>
      </w:r>
    </w:p>
    <w:p>
      <w:pPr>
        <w:pStyle w:val="ListBullet"/>
      </w:pPr>
      <w:r>
        <w:rPr>
          <w:i w:val="0"/>
        </w:rPr>
        <w:t>同名不同生日不合并；</w:t>
      </w:r>
    </w:p>
    <w:p>
      <w:pPr>
        <w:pStyle w:val="ListBullet"/>
      </w:pPr>
      <w:r>
        <w:rPr>
          <w:i w:val="0"/>
        </w:rPr>
        <w:t>同电话不同患者进入候选；</w:t>
      </w:r>
    </w:p>
    <w:p>
      <w:pPr>
        <w:pStyle w:val="ListBullet"/>
      </w:pPr>
      <w:r>
        <w:rPr>
          <w:i w:val="0"/>
        </w:rPr>
        <w:t>多院区标识域；</w:t>
      </w:r>
    </w:p>
    <w:p>
      <w:pPr>
        <w:pStyle w:val="ListBullet"/>
      </w:pPr>
      <w:r>
        <w:rPr>
          <w:i w:val="0"/>
        </w:rPr>
        <w:t>标识更改/作废；</w:t>
      </w:r>
    </w:p>
    <w:p>
      <w:pPr>
        <w:pStyle w:val="ListBullet"/>
      </w:pPr>
      <w:r>
        <w:rPr>
          <w:i w:val="0"/>
        </w:rPr>
        <w:t>人工链接、拒绝、解除；</w:t>
      </w:r>
    </w:p>
    <w:p>
      <w:pPr>
        <w:pStyle w:val="ListBullet"/>
      </w:pPr>
      <w:r>
        <w:rPr>
          <w:i w:val="0"/>
        </w:rPr>
        <w:t>错误链接影响评估；</w:t>
      </w:r>
    </w:p>
    <w:p>
      <w:pPr>
        <w:pStyle w:val="ListBullet"/>
      </w:pPr>
      <w:r>
        <w:rPr>
          <w:i w:val="0"/>
        </w:rPr>
        <w:t>页面和日志掩码。</w:t>
      </w:r>
    </w:p>
    <w:p>
      <w:pPr>
        <w:pStyle w:val="Heading2"/>
      </w:pPr>
      <w:r>
        <w:t>5. 权限与安全用例</w:t>
      </w:r>
    </w:p>
    <w:p>
      <w:pPr>
        <w:pStyle w:val="ListBullet"/>
      </w:pPr>
      <w:r>
        <w:rPr>
          <w:i w:val="0"/>
        </w:rPr>
        <w:t>直接伪造可信代理头被拒绝；</w:t>
      </w:r>
    </w:p>
    <w:p>
      <w:pPr>
        <w:pStyle w:val="ListBullet"/>
      </w:pPr>
      <w:r>
        <w:rPr>
          <w:i w:val="0"/>
        </w:rPr>
        <w:t>过期/篡改令牌被拒绝；</w:t>
      </w:r>
    </w:p>
    <w:p>
      <w:pPr>
        <w:pStyle w:val="ListBullet"/>
      </w:pPr>
      <w:r>
        <w:rPr>
          <w:i w:val="0"/>
        </w:rPr>
        <w:t>不同角色访问矩阵；</w:t>
      </w:r>
    </w:p>
    <w:p>
      <w:pPr>
        <w:pStyle w:val="ListBullet"/>
      </w:pPr>
      <w:r>
        <w:rPr>
          <w:i w:val="0"/>
        </w:rPr>
        <w:t>无同意/用途不符被阻止；</w:t>
      </w:r>
    </w:p>
    <w:p>
      <w:pPr>
        <w:pStyle w:val="ListBullet"/>
      </w:pPr>
      <w:r>
        <w:rPr>
          <w:i w:val="0"/>
        </w:rPr>
        <w:t>HMAC 重放 nonce；</w:t>
      </w:r>
    </w:p>
    <w:p>
      <w:pPr>
        <w:pStyle w:val="ListBullet"/>
      </w:pPr>
      <w:r>
        <w:rPr>
          <w:i w:val="0"/>
        </w:rPr>
        <w:t>请求大小限制；</w:t>
      </w:r>
    </w:p>
    <w:p>
      <w:pPr>
        <w:pStyle w:val="ListBullet"/>
      </w:pPr>
      <w:r>
        <w:rPr>
          <w:i w:val="0"/>
        </w:rPr>
        <w:t>路径穿越、注入、XML 外部实体；</w:t>
      </w:r>
    </w:p>
    <w:p>
      <w:pPr>
        <w:pStyle w:val="ListBullet"/>
      </w:pPr>
      <w:r>
        <w:rPr>
          <w:i w:val="0"/>
        </w:rPr>
        <w:t>TLS/mTLS、证书到期、吊销；</w:t>
      </w:r>
    </w:p>
    <w:p>
      <w:pPr>
        <w:pStyle w:val="ListBullet"/>
      </w:pPr>
      <w:r>
        <w:rPr>
          <w:i w:val="0"/>
        </w:rPr>
        <w:t>日志不含明文 PHI；</w:t>
      </w:r>
    </w:p>
    <w:p>
      <w:pPr>
        <w:pStyle w:val="ListBullet"/>
      </w:pPr>
      <w:r>
        <w:rPr>
          <w:i w:val="0"/>
        </w:rPr>
        <w:t>审计链篡改被检测。</w:t>
      </w:r>
    </w:p>
    <w:p>
      <w:pPr>
        <w:pStyle w:val="Heading2"/>
      </w:pPr>
      <w:r>
        <w:t>6. 临床安全用例</w:t>
      </w:r>
    </w:p>
    <w:p>
      <w:pPr>
        <w:pStyle w:val="ListBullet"/>
      </w:pPr>
      <w:r>
        <w:rPr>
          <w:i w:val="0"/>
        </w:rPr>
        <w:t>外部“诊断/处方/医嘱”不能直接写入；</w:t>
      </w:r>
    </w:p>
    <w:p>
      <w:pPr>
        <w:pStyle w:val="ListBullet"/>
      </w:pPr>
      <w:r>
        <w:rPr>
          <w:i w:val="0"/>
        </w:rPr>
        <w:t>临床暂存必须人工审核；</w:t>
      </w:r>
    </w:p>
    <w:p>
      <w:pPr>
        <w:pStyle w:val="ListBullet"/>
      </w:pPr>
      <w:r>
        <w:rPr>
          <w:i w:val="0"/>
        </w:rPr>
        <w:t>患者不确定时阻止高影响动作；</w:t>
      </w:r>
    </w:p>
    <w:p>
      <w:pPr>
        <w:pStyle w:val="ListBullet"/>
      </w:pPr>
      <w:r>
        <w:rPr>
          <w:i w:val="0"/>
        </w:rPr>
        <w:t>单位/代码未知时保留残差；</w:t>
      </w:r>
    </w:p>
    <w:p>
      <w:pPr>
        <w:pStyle w:val="ListBullet"/>
      </w:pPr>
      <w:r>
        <w:rPr>
          <w:i w:val="0"/>
        </w:rPr>
        <w:t>转诊目录不显示为实时号源；</w:t>
      </w:r>
    </w:p>
    <w:p>
      <w:pPr>
        <w:pStyle w:val="ListBullet"/>
      </w:pPr>
      <w:r>
        <w:rPr>
          <w:i w:val="0"/>
        </w:rPr>
        <w:t>趋势不自动改变治疗；</w:t>
      </w:r>
    </w:p>
    <w:p>
      <w:pPr>
        <w:pStyle w:val="ListBullet"/>
      </w:pPr>
      <w:r>
        <w:rPr>
          <w:i w:val="0"/>
        </w:rPr>
        <w:t>急诊信息明确提示使用医院急诊流程；</w:t>
      </w:r>
    </w:p>
    <w:p>
      <w:pPr>
        <w:pStyle w:val="ListBullet"/>
      </w:pPr>
      <w:r>
        <w:rPr>
          <w:i w:val="0"/>
        </w:rPr>
        <w:t>角色标签不能替代资质。</w:t>
      </w:r>
    </w:p>
    <w:p>
      <w:pPr>
        <w:pStyle w:val="Heading2"/>
      </w:pPr>
      <w:r>
        <w:t>7. 上线前清单</w:t>
      </w:r>
    </w:p>
    <w:p>
      <w:pPr>
        <w:pStyle w:val="ListBullet"/>
      </w:pPr>
      <w:r>
        <w:rPr>
          <w:i w:val="0"/>
        </w:rPr>
        <w:t>[ ] 真实接口清单和映射完成业务/技术双签；</w:t>
      </w:r>
    </w:p>
    <w:p>
      <w:pPr>
        <w:pStyle w:val="ListBullet"/>
      </w:pPr>
      <w:r>
        <w:rPr>
          <w:i w:val="0"/>
        </w:rPr>
        <w:t>[ ] 测试数据不含未授权真实患者；</w:t>
      </w:r>
    </w:p>
    <w:p>
      <w:pPr>
        <w:pStyle w:val="ListBullet"/>
      </w:pPr>
      <w:r>
        <w:rPr>
          <w:i w:val="0"/>
        </w:rPr>
        <w:t>[ ] 身份、角色、科室和职责分离确认；</w:t>
      </w:r>
    </w:p>
    <w:p>
      <w:pPr>
        <w:pStyle w:val="ListBullet"/>
      </w:pPr>
      <w:r>
        <w:rPr>
          <w:i w:val="0"/>
        </w:rPr>
        <w:t>[ ] TLS/mTLS、证书、密钥轮换和网络策略完成；</w:t>
      </w:r>
    </w:p>
    <w:p>
      <w:pPr>
        <w:pStyle w:val="ListBullet"/>
      </w:pPr>
      <w:r>
        <w:rPr>
          <w:i w:val="0"/>
        </w:rPr>
        <w:t>[ ] 演示令牌和默认秘密全部禁用；</w:t>
      </w:r>
    </w:p>
    <w:p>
      <w:pPr>
        <w:pStyle w:val="ListBullet"/>
      </w:pPr>
      <w:r>
        <w:rPr>
          <w:i w:val="0"/>
        </w:rPr>
        <w:t>[ ] 高影响写回默认关闭；</w:t>
      </w:r>
    </w:p>
    <w:p>
      <w:pPr>
        <w:pStyle w:val="ListBullet"/>
      </w:pPr>
      <w:r>
        <w:rPr>
          <w:i w:val="0"/>
        </w:rPr>
        <w:t>[ ] 备份、恢复和容灾演练通过；</w:t>
      </w:r>
    </w:p>
    <w:p>
      <w:pPr>
        <w:pStyle w:val="ListBullet"/>
      </w:pPr>
      <w:r>
        <w:rPr>
          <w:i w:val="0"/>
        </w:rPr>
        <w:t>[ ] 性能、容量、故障、重复、乱序测试通过；</w:t>
      </w:r>
    </w:p>
    <w:p>
      <w:pPr>
        <w:pStyle w:val="ListBullet"/>
      </w:pPr>
      <w:r>
        <w:rPr>
          <w:i w:val="0"/>
        </w:rPr>
        <w:t>[ ] 审计、日志、SIEM 和告警接入；</w:t>
      </w:r>
    </w:p>
    <w:p>
      <w:pPr>
        <w:pStyle w:val="ListBullet"/>
      </w:pPr>
      <w:r>
        <w:rPr>
          <w:i w:val="0"/>
        </w:rPr>
        <w:t>[ ] 安全扫描/渗透测试问题闭环；</w:t>
      </w:r>
    </w:p>
    <w:p>
      <w:pPr>
        <w:pStyle w:val="ListBullet"/>
      </w:pPr>
      <w:r>
        <w:rPr>
          <w:i w:val="0"/>
        </w:rPr>
        <w:t>[ ] 临床、护理、康复、质量、信息和运维培训完成；</w:t>
      </w:r>
    </w:p>
    <w:p>
      <w:pPr>
        <w:pStyle w:val="ListBullet"/>
      </w:pPr>
      <w:r>
        <w:rPr>
          <w:i w:val="0"/>
        </w:rPr>
        <w:t>[ ] 试运行范围、值守、回滚和事件响应批准；</w:t>
      </w:r>
    </w:p>
    <w:p>
      <w:pPr>
        <w:pStyle w:val="ListBullet"/>
      </w:pPr>
      <w:r>
        <w:rPr>
          <w:i w:val="0"/>
        </w:rPr>
        <w:t>[ ] 供应商和院方责任边界书面确认；</w:t>
      </w:r>
    </w:p>
    <w:p>
      <w:pPr>
        <w:pStyle w:val="ListBullet"/>
      </w:pPr>
      <w:r>
        <w:rPr>
          <w:i w:val="0"/>
        </w:rPr>
        <w:t>[ ] 数据用途、保留、撤回和科研访问审批完成。</w:t>
      </w:r>
    </w:p>
    <w:p>
      <w:pPr>
        <w:pStyle w:val="Heading2"/>
      </w:pPr>
      <w:r>
        <w:t>8. 上线后 7/30/90 天</w:t>
      </w:r>
    </w:p>
    <w:p>
      <w:r>
        <w:rPr>
          <w:i w:val="0"/>
        </w:rPr>
        <w:t>7 天每日复盘消息失败、MPI 未决和人工暂存；30 天评估稳定性、用户负担、映射残差和安全告警；90 天决定维持、扩大、修改或回退。扩大范围必须有证据，不以“系统已运行”作为自动批准理由。</w:t>
      </w:r>
    </w:p>
    <w:p>
      <w:r>
        <w:br w:type="page"/>
      </w:r>
    </w:p>
    <w:p>
      <w:pPr>
        <w:pStyle w:val="Heading1"/>
      </w:pPr>
      <w:r>
        <w:t>变更记录与边界声明</w:t>
      </w:r>
    </w:p>
    <w:p>
      <w:pPr>
        <w:pStyle w:val="Heading2"/>
      </w:pPr>
      <w:r>
        <w:t>v2.0.0</w:t>
      </w:r>
    </w:p>
    <w:p>
      <w:pPr>
        <w:pStyle w:val="ListBullet"/>
      </w:pPr>
      <w:r>
        <w:rPr>
          <w:i w:val="0"/>
        </w:rPr>
        <w:t>新增独立院内集成网关和控制台；</w:t>
      </w:r>
    </w:p>
    <w:p>
      <w:pPr>
        <w:pStyle w:val="ListBullet"/>
      </w:pPr>
      <w:r>
        <w:rPr>
          <w:i w:val="0"/>
        </w:rPr>
        <w:t>新增 FHIR R4 双向门面、HL7 v2/MLLP、CDA、DICOMweb、REST/Webhook、文件交换；</w:t>
      </w:r>
    </w:p>
    <w:p>
      <w:pPr>
        <w:pStyle w:val="ListBullet"/>
      </w:pPr>
      <w:r>
        <w:rPr>
          <w:i w:val="0"/>
        </w:rPr>
        <w:t>新增患者主索引、同意、签名信封、可靠队列、死信、连接器健康；</w:t>
      </w:r>
    </w:p>
    <w:p>
      <w:pPr>
        <w:pStyle w:val="ListBullet"/>
      </w:pPr>
      <w:r>
        <w:rPr>
          <w:i w:val="0"/>
        </w:rPr>
        <w:t>新增临床暂存与人工审核桥接；</w:t>
      </w:r>
    </w:p>
    <w:p>
      <w:pPr>
        <w:pStyle w:val="ListBullet"/>
      </w:pPr>
      <w:r>
        <w:rPr>
          <w:i w:val="0"/>
        </w:rPr>
        <w:t>新增 MESH8.1 五元语义护照和映射残差；</w:t>
      </w:r>
    </w:p>
    <w:p>
      <w:pPr>
        <w:pStyle w:val="ListBullet"/>
      </w:pPr>
      <w:r>
        <w:rPr>
          <w:i w:val="0"/>
        </w:rPr>
        <w:t>新增 OpenAPI、配置模板、联调样例、部署和验收文档；</w:t>
      </w:r>
    </w:p>
    <w:p>
      <w:pPr>
        <w:pStyle w:val="ListBullet"/>
      </w:pPr>
      <w:r>
        <w:rPr>
          <w:i w:val="0"/>
        </w:rPr>
        <w:t>保留原 v1.0.0 临床工作流内核和安全边界。</w:t>
      </w:r>
    </w:p>
    <w:p>
      <w:pPr>
        <w:pStyle w:val="Heading2"/>
      </w:pPr>
      <w:r>
        <w:t>明确边界</w:t>
      </w:r>
    </w:p>
    <w:p>
      <w:r>
        <w:rPr>
          <w:i w:val="0"/>
        </w:rPr>
        <w:t>本发行版不是浦东新区中医医院正式委托、采购、验收或上线系统；未连接真实 HIS、EMR、LIS、PACS、统一身份、电子签名、号源、床位、药房或院内网络；不含真实患者数据、真实账号、证书或厂商参数；自动化测试不等于临床、生产、安全认证或监管批准。</w:t>
      </w:r>
    </w:p>
    <w:p>
      <w:r>
        <w:rPr>
          <w:i w:val="0"/>
        </w:rPr>
        <w:t>系统不自动诊断、开方、确定剂量、选择穴位、提交医嘱或处理急诊；不替代持证人员、患者主数据、医院电子签名、医疗质量、数据治理和事件响应制度。</w:t>
      </w:r>
    </w:p>
    <w:p>
      <w:r>
        <w:rPr>
          <w:i w:val="0"/>
        </w:rPr>
        <w:t>任何现场部署必须在合法授权、最小必要、临床人员在环、可审计、可撤销和可恢复的条件下进行。</w:t>
      </w:r>
    </w:p>
    <w:p>
      <w:r>
        <w:br w:type="page"/>
      </w:r>
    </w:p>
    <w:p>
      <w:pPr>
        <w:pStyle w:val="Heading1"/>
      </w:pPr>
      <w:r>
        <w:t>附录 A：接口实施责任分工建议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905"/>
            <w:vAlign w:val="center"/>
            <w:shd w:fill="2D5F8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1905"/>
            <w:vAlign w:val="center"/>
            <w:shd w:fill="2D5F8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医院信息中心</w:t>
            </w:r>
          </w:p>
        </w:tc>
        <w:tc>
          <w:tcPr>
            <w:tcW w:type="dxa" w:w="1905"/>
            <w:vAlign w:val="center"/>
            <w:shd w:fill="2D5F8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临床/业务科室</w:t>
            </w:r>
          </w:p>
        </w:tc>
        <w:tc>
          <w:tcPr>
            <w:tcW w:type="dxa" w:w="1905"/>
            <w:vAlign w:val="center"/>
            <w:shd w:fill="2D5F8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接口厂商</w:t>
            </w:r>
          </w:p>
        </w:tc>
        <w:tc>
          <w:tcPr>
            <w:tcW w:type="dxa" w:w="1905"/>
            <w:vAlign w:val="center"/>
            <w:shd w:fill="2D5F8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项目实施方</w:t>
            </w:r>
          </w:p>
        </w:tc>
      </w:tr>
      <w:tr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接口权威源与业务规则</w:t>
            </w:r>
          </w:p>
        </w:tc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主责</w:t>
            </w:r>
          </w:p>
        </w:tc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共同确认</w:t>
            </w:r>
          </w:p>
        </w:tc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提供产品约束</w:t>
            </w:r>
          </w:p>
        </w:tc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形成契约与实现</w:t>
            </w:r>
          </w:p>
        </w:tc>
      </w:tr>
      <w:tr>
        <w:tc>
          <w:tcPr>
            <w:tcW w:type="dxa" w:w="190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患者/就诊主索引</w:t>
            </w:r>
          </w:p>
        </w:tc>
        <w:tc>
          <w:tcPr>
            <w:tcW w:type="dxa" w:w="190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主责</w:t>
            </w:r>
          </w:p>
        </w:tc>
        <w:tc>
          <w:tcPr>
            <w:tcW w:type="dxa" w:w="190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核对异常</w:t>
            </w:r>
          </w:p>
        </w:tc>
        <w:tc>
          <w:tcPr>
            <w:tcW w:type="dxa" w:w="190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提供标识域</w:t>
            </w:r>
          </w:p>
        </w:tc>
        <w:tc>
          <w:tcPr>
            <w:tcW w:type="dxa" w:w="190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实现保守匹配与审计</w:t>
            </w:r>
          </w:p>
        </w:tc>
      </w:tr>
      <w:tr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字段与代码映射</w:t>
            </w:r>
          </w:p>
        </w:tc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共同确认</w:t>
            </w:r>
          </w:p>
        </w:tc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主责语义</w:t>
            </w:r>
          </w:p>
        </w:tc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提供字段字典</w:t>
            </w:r>
          </w:p>
        </w:tc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实现、测试、保留残差</w:t>
            </w:r>
          </w:p>
        </w:tc>
      </w:tr>
      <w:tr>
        <w:tc>
          <w:tcPr>
            <w:tcW w:type="dxa" w:w="190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身份、证书与网络</w:t>
            </w:r>
          </w:p>
        </w:tc>
        <w:tc>
          <w:tcPr>
            <w:tcW w:type="dxa" w:w="190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主责</w:t>
            </w:r>
          </w:p>
        </w:tc>
        <w:tc>
          <w:tcPr>
            <w:tcW w:type="dxa" w:w="190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确认角色</w:t>
            </w:r>
          </w:p>
        </w:tc>
        <w:tc>
          <w:tcPr>
            <w:tcW w:type="dxa" w:w="190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配合端点</w:t>
            </w:r>
          </w:p>
        </w:tc>
        <w:tc>
          <w:tcPr>
            <w:tcW w:type="dxa" w:w="190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配置适配与验证</w:t>
            </w:r>
          </w:p>
        </w:tc>
      </w:tr>
      <w:tr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临床安全与人工复核</w:t>
            </w:r>
          </w:p>
        </w:tc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配合</w:t>
            </w:r>
          </w:p>
        </w:tc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主责</w:t>
            </w:r>
          </w:p>
        </w:tc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配合</w:t>
            </w:r>
          </w:p>
        </w:tc>
        <w:tc>
          <w:tcPr>
            <w:tcW w:type="dxa" w:w="190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实现技术闸门</w:t>
            </w:r>
          </w:p>
        </w:tc>
      </w:tr>
      <w:tr>
        <w:tc>
          <w:tcPr>
            <w:tcW w:type="dxa" w:w="190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SIT/UAT/上线</w:t>
            </w:r>
          </w:p>
        </w:tc>
        <w:tc>
          <w:tcPr>
            <w:tcW w:type="dxa" w:w="190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统筹</w:t>
            </w:r>
          </w:p>
        </w:tc>
        <w:tc>
          <w:tcPr>
            <w:tcW w:type="dxa" w:w="190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验收</w:t>
            </w:r>
          </w:p>
        </w:tc>
        <w:tc>
          <w:tcPr>
            <w:tcW w:type="dxa" w:w="190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联合测试</w:t>
            </w:r>
          </w:p>
        </w:tc>
        <w:tc>
          <w:tcPr>
            <w:tcW w:type="dxa" w:w="190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修复与证据交付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247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B78"/>
        <w:sz w:val="16"/>
      </w:rPr>
      <w:t xml:space="preserve">第 </w:t>
      <w:fldChar w:fldCharType="begin"/>
      <w:instrText xml:space="preserve">PAGE</w:instrText>
      <w:fldChar w:fldCharType="end"/>
    </w:r>
    <w:r>
      <w:rPr>
        <w:color w:val="5D6B78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D6B78"/>
        <w:sz w:val="16"/>
      </w:rPr>
      <w:t>浦东中医主动诊疗平台 MESH8.1 全面升级与医院系统接口实施报告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5F8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859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83" w:right="170"/>
      <w:shd w:fill="F1F4F6"/>
    </w:pPr>
    <w:rPr>
      <w:rFonts w:ascii="DejaVu Sans Mono" w:hAnsi="DejaVu Sans Mono" w:eastAsia="Noto Sans Mono CJK SC"/>
      <w:color w:val="26323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浦东中医主动诊疗平台 MESH8.1 全面升级与医院系统接口实施报告</dc:title>
  <dc:subject>DIKWP-MESH8.1 浦东中医主动诊疗与院内互联平台 v2.0.0</dc:subject>
  <dc:creator>DIKWP-MESH8.1 工程交付；原始项目来源：Yucong Duan GitHub</dc:creator>
  <cp:keywords>DIKWP, MESH8.1, 中医医院, FHIR, HL7, CDA, DICOMweb, MPI, 医院互联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