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b/>
          <w:color w:val="2D5F8B"/>
          <w:sz w:val="44"/>
        </w:rPr>
        <w:t>DIKWP–MESH8.1</w:t>
      </w:r>
    </w:p>
    <w:p>
      <w:pPr>
        <w:spacing w:before="320"/>
        <w:jc w:val="center"/>
      </w:pPr>
      <w:r>
        <w:rPr>
          <w:rFonts w:ascii="Noto Sans CJK SC" w:hAnsi="Noto Sans CJK SC" w:eastAsia="Noto Sans CJK SC"/>
          <w:b/>
          <w:color w:val="17324D"/>
          <w:sz w:val="56"/>
        </w:rPr>
        <w:t>浦东中医主动诊疗平台</w:t>
      </w:r>
    </w:p>
    <w:p>
      <w:pPr>
        <w:jc w:val="center"/>
      </w:pPr>
      <w:r>
        <w:rPr>
          <w:color w:val="5D6B78"/>
          <w:sz w:val="30"/>
        </w:rPr>
        <w:t>临床工作流、院内互联、运维与故障处理</w:t>
      </w:r>
    </w:p>
    <w:p>
      <w:pPr>
        <w:spacing w:before="560"/>
        <w:jc w:val="center"/>
      </w:pPr>
      <w:r>
        <w:rPr>
          <w:b/>
          <w:color w:val="A97932"/>
          <w:sz w:val="40"/>
        </w:rPr>
        <w:t>完整用户手册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36"/>
      </w:tblGrid>
      <w:tr>
        <w:tc>
          <w:tcPr>
            <w:tcW w:type="dxa" w:w="9525"/>
            <w:shd w:fill="2D5F8B"/>
          </w:tcPr>
          <w:p>
            <w:r/>
          </w:p>
        </w:tc>
      </w:tr>
    </w:tbl>
    <w:p>
      <w:pPr>
        <w:spacing w:before="2600"/>
        <w:jc w:val="center"/>
      </w:pPr>
    </w:p>
    <w:p>
      <w:pPr>
        <w:jc w:val="center"/>
      </w:pPr>
      <w:r>
        <w:rPr>
          <w:color w:val="5D6B78"/>
          <w:sz w:val="20"/>
        </w:rPr>
        <w:t>版本：v2.0.0</w:t>
      </w:r>
    </w:p>
    <w:p>
      <w:pPr>
        <w:jc w:val="center"/>
      </w:pPr>
      <w:r>
        <w:rPr>
          <w:color w:val="5D6B78"/>
          <w:sz w:val="20"/>
        </w:rPr>
        <w:t>日期：2026年8月</w:t>
      </w:r>
    </w:p>
    <w:p>
      <w:pPr>
        <w:jc w:val="center"/>
      </w:pPr>
      <w:r>
        <w:rPr>
          <w:color w:val="5D6B78"/>
          <w:sz w:val="20"/>
        </w:rPr>
        <w:t>原始开源项目：Yucong Duan GitHub / DIKWP-Mesh-4.1-Pudong-ActiveTCM-28Path</w:t>
      </w:r>
    </w:p>
    <w:p>
      <w:pPr>
        <w:jc w:val="center"/>
      </w:pPr>
      <w:r>
        <w:rPr>
          <w:color w:val="5D6B78"/>
          <w:sz w:val="20"/>
        </w:rPr>
        <w:t>交付状态：合成数据可运行、可联调参考实现；非医院正式上线系统</w:t>
      </w:r>
    </w:p>
    <w:p>
      <w:r>
        <w:br w:type="page"/>
      </w:r>
    </w:p>
    <w:p>
      <w:pPr>
        <w:pStyle w:val="Heading1"/>
      </w:pPr>
      <w:r>
        <w:t>重要边界声明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CEDEA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8A3B27"/>
                <w:sz w:val="21"/>
              </w:rPr>
              <w:t>本交付不是浦东新区中医医院正式委托、采购、验收或上线系统；未连接真实 HIS、EMR、LIS、PACS、统一身份、电子签名、号源、床位、药房或院内网络；不含真实患者数据、真实证书或厂商私有参数。系统坚持临床人员在环，不自动诊断、开方、确定剂量、选择穴位、提交医嘱或处置急诊。任何生产使用均需院方完成接口、临床、安全、数据、运维和管理验收。</w:t>
            </w:r>
          </w:p>
        </w:tc>
      </w:tr>
    </w:tbl>
    <w:p/>
    <w:p>
      <w:pPr>
        <w:pStyle w:val="Heading1"/>
      </w:pPr>
      <w:r>
        <w:t>一分钟快速开始（仅合成演示）</w:t>
      </w:r>
    </w:p>
    <w:p>
      <w:pPr>
        <w:pStyle w:val="CodeBlock"/>
      </w:pPr>
      <w:r>
        <w:t>cd DIKWP_Mesh81_Pudong_ActiveTCM_Integration_v2.0.0</w:t>
        <w:br/>
        <w:t>python run_mesh81.py config-check --config config/integration.json</w:t>
        <w:br/>
        <w:t>python run_mesh81.py integrated --config config/integration.json</w:t>
      </w:r>
    </w:p>
    <w:p>
      <w:r>
        <w:t>打开临床工作台 http://127.0.0.1:8788 与集成控制台 http://127.0.0.1:8790。演示令牌只可用于隔离合成环境。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72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t>打开文档后右键此处并选择“更新域”，即可生成完整目录。</w:t>
        <w:fldChar w:fldCharType="end"/>
      </w:r>
    </w:p>
    <w:p>
      <w:r>
        <w:br w:type="page"/>
      </w:r>
    </w:p>
    <w:p>
      <w:pPr>
        <w:pStyle w:val="Heading1"/>
      </w:pPr>
      <w:r>
        <w:t>部署安装手册</w:t>
      </w:r>
    </w:p>
    <w:p>
      <w:pPr>
        <w:pStyle w:val="Heading2"/>
      </w:pPr>
      <w:r>
        <w:t>1. 部署模式</w:t>
      </w:r>
    </w:p>
    <w:p>
      <w:pPr>
        <w:pStyle w:val="Heading3"/>
      </w:pPr>
      <w:r>
        <w:t>1.1 本地演示</w:t>
      </w:r>
    </w:p>
    <w:p>
      <w:r>
        <w:rPr>
          <w:i w:val="0"/>
        </w:rPr>
        <w:t>适用于功能评审和开发者自测，不可接真实患者数据。</w:t>
      </w:r>
    </w:p>
    <w:p>
      <w:pPr>
        <w:pStyle w:val="CodeBlock"/>
      </w:pPr>
      <w:r>
        <w:t>python --version</w:t>
        <w:br/>
        <w:t>python run_mesh81.py config-check --config config/integration.json</w:t>
        <w:br/>
        <w:t>python run_mesh81.py integrated --config config/integration.json</w:t>
      </w:r>
    </w:p>
    <w:p>
      <w:pPr>
        <w:pStyle w:val="Heading3"/>
      </w:pPr>
      <w:r>
        <w:t>1.2 单机院内试点</w:t>
      </w:r>
    </w:p>
    <w:p>
      <w:r>
        <w:rPr>
          <w:i w:val="0"/>
        </w:rPr>
        <w:t xml:space="preserve">建议使用受控 Linux 主机、专用服务账号、systemd、Nginx TLS 终止、独立数据盘和集中日志。配置文件放在 </w:t>
      </w:r>
      <w:r>
        <w:rPr>
          <w:rFonts w:ascii="DejaVu Sans Mono" w:hAnsi="DejaVu Sans Mono"/>
          <w:color w:val="37474F"/>
          <w:sz w:val="18"/>
        </w:rPr>
        <w:t>/etc/pudong-mesh81/</w:t>
      </w:r>
      <w:r>
        <w:rPr>
          <w:i w:val="0"/>
        </w:rPr>
        <w:t xml:space="preserve">，数据库和交换目录放在 </w:t>
      </w:r>
      <w:r>
        <w:rPr>
          <w:rFonts w:ascii="DejaVu Sans Mono" w:hAnsi="DejaVu Sans Mono"/>
          <w:color w:val="37474F"/>
          <w:sz w:val="18"/>
        </w:rPr>
        <w:t>/var/lib/pudong-mesh81/</w:t>
      </w:r>
      <w:r>
        <w:rPr>
          <w:i w:val="0"/>
        </w:rPr>
        <w:t>，程序目录只读。</w:t>
      </w:r>
    </w:p>
    <w:p>
      <w:pPr>
        <w:pStyle w:val="Heading3"/>
      </w:pPr>
      <w:r>
        <w:t>1.3 Docker/Compose</w:t>
      </w:r>
    </w:p>
    <w:p>
      <w:pPr>
        <w:pStyle w:val="ListNumber"/>
      </w:pPr>
      <w:r>
        <w:rPr>
          <w:i w:val="0"/>
        </w:rPr>
        <w:t xml:space="preserve">复制 </w:t>
      </w:r>
      <w:r>
        <w:rPr>
          <w:rFonts w:ascii="DejaVu Sans Mono" w:hAnsi="DejaVu Sans Mono"/>
          <w:color w:val="37474F"/>
          <w:sz w:val="18"/>
        </w:rPr>
        <w:t>.env.example</w:t>
      </w:r>
      <w:r>
        <w:rPr>
          <w:i w:val="0"/>
        </w:rPr>
        <w:t xml:space="preserve"> 为 </w:t>
      </w:r>
      <w:r>
        <w:rPr>
          <w:rFonts w:ascii="DejaVu Sans Mono" w:hAnsi="DejaVu Sans Mono"/>
          <w:color w:val="37474F"/>
          <w:sz w:val="18"/>
        </w:rPr>
        <w:t>.env</w:t>
      </w:r>
      <w:r>
        <w:rPr>
          <w:i w:val="0"/>
        </w:rPr>
        <w:t>；</w:t>
      </w:r>
    </w:p>
    <w:p>
      <w:pPr>
        <w:pStyle w:val="ListNumber"/>
      </w:pPr>
      <w:r>
        <w:rPr>
          <w:i w:val="0"/>
        </w:rPr>
        <w:t xml:space="preserve">运行 </w:t>
      </w:r>
      <w:r>
        <w:rPr>
          <w:rFonts w:ascii="DejaVu Sans Mono" w:hAnsi="DejaVu Sans Mono"/>
          <w:color w:val="37474F"/>
          <w:sz w:val="18"/>
        </w:rPr>
        <w:t>python tools/generate_secret.py</w:t>
      </w:r>
      <w:r>
        <w:rPr>
          <w:i w:val="0"/>
        </w:rPr>
        <w:t xml:space="preserve"> 生成随机秘密；</w:t>
      </w:r>
    </w:p>
    <w:p>
      <w:pPr>
        <w:pStyle w:val="ListNumber"/>
      </w:pPr>
      <w:r>
        <w:rPr>
          <w:i w:val="0"/>
        </w:rPr>
        <w:t>替换连接器模板和证书挂载；</w:t>
      </w:r>
    </w:p>
    <w:p>
      <w:pPr>
        <w:pStyle w:val="ListNumber"/>
      </w:pPr>
      <w:r>
        <w:rPr>
          <w:rFonts w:ascii="DejaVu Sans Mono" w:hAnsi="DejaVu Sans Mono"/>
          <w:color w:val="37474F"/>
          <w:sz w:val="18"/>
        </w:rPr>
        <w:t>docker compose -f docker-compose.mesh81.yml up --build -d</w:t>
      </w:r>
      <w:r>
        <w:rPr>
          <w:i w:val="0"/>
        </w:rPr>
        <w:t>；</w:t>
      </w:r>
    </w:p>
    <w:p>
      <w:pPr>
        <w:pStyle w:val="ListNumber"/>
      </w:pPr>
      <w:r>
        <w:rPr>
          <w:i w:val="0"/>
        </w:rPr>
        <w:t>检查健康、日志、审计链和合成联调；</w:t>
      </w:r>
    </w:p>
    <w:p>
      <w:pPr>
        <w:pStyle w:val="ListNumber"/>
      </w:pPr>
      <w:r>
        <w:rPr>
          <w:i w:val="0"/>
        </w:rPr>
        <w:t>未经批准不得将端口直接暴露到互联网。</w:t>
      </w:r>
    </w:p>
    <w:p>
      <w:pPr>
        <w:pStyle w:val="Heading3"/>
      </w:pPr>
      <w:r>
        <w:t>1.4 Kubernetes</w:t>
      </w:r>
    </w:p>
    <w:p>
      <w:r>
        <w:rPr>
          <w:rFonts w:ascii="DejaVu Sans Mono" w:hAnsi="DejaVu Sans Mono"/>
          <w:color w:val="37474F"/>
          <w:sz w:val="18"/>
        </w:rPr>
        <w:t>deploy/k8s/</w:t>
      </w:r>
      <w:r>
        <w:rPr>
          <w:i w:val="0"/>
        </w:rPr>
        <w:t xml:space="preserve"> 提供 ConfigMap、Deployment、Service、PVC 和 Secret 示例。生产部署还需由平台团队补充：Ingress/API Gateway、NetworkPolicy、PodDisruptionBudget、备份控制器、日志/指标采集、证书管理、镜像签名和准入策略。</w:t>
      </w:r>
    </w:p>
    <w:p>
      <w:pPr>
        <w:pStyle w:val="Heading2"/>
      </w:pPr>
      <w:r>
        <w:t>2. 环境要求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3175"/>
            <w:vAlign w:val="center"/>
            <w:shd w:fill="2D5F8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3175"/>
            <w:vAlign w:val="center"/>
            <w:shd w:fill="2D5F8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最低建议</w:t>
            </w:r>
          </w:p>
        </w:tc>
        <w:tc>
          <w:tcPr>
            <w:tcW w:type="dxa" w:w="3175"/>
            <w:vAlign w:val="center"/>
            <w:shd w:fill="2D5F8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生产说明</w:t>
            </w:r>
          </w:p>
        </w:tc>
      </w:tr>
      <w:tr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Python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3.10+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固定补丁版本并纳入漏洞管理</w:t>
            </w:r>
          </w:p>
        </w:tc>
      </w:tr>
      <w:tr>
        <w:tc>
          <w:tcPr>
            <w:tcW w:type="dxa" w:w="3175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CPU/内存</w:t>
            </w:r>
          </w:p>
        </w:tc>
        <w:tc>
          <w:tcPr>
            <w:tcW w:type="dxa" w:w="3175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 核/4 GB</w:t>
            </w:r>
          </w:p>
        </w:tc>
        <w:tc>
          <w:tcPr>
            <w:tcW w:type="dxa" w:w="3175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根据接口峰值和保留数据评估</w:t>
            </w:r>
          </w:p>
        </w:tc>
      </w:tr>
      <w:tr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存储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 GB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SQLite 试点；更大规模需评估院方数据库适配</w:t>
            </w:r>
          </w:p>
        </w:tc>
      </w:tr>
      <w:tr>
        <w:tc>
          <w:tcPr>
            <w:tcW w:type="dxa" w:w="3175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时间</w:t>
            </w:r>
          </w:p>
        </w:tc>
        <w:tc>
          <w:tcPr>
            <w:tcW w:type="dxa" w:w="3175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NTP 同步</w:t>
            </w:r>
          </w:p>
        </w:tc>
        <w:tc>
          <w:tcPr>
            <w:tcW w:type="dxa" w:w="3175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HIS、LIS、PACS、网关必须统一时基</w:t>
            </w:r>
          </w:p>
        </w:tc>
      </w:tr>
      <w:tr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网络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仅必要方向开放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禁止数据库对外；使用 TLS/mTLS</w:t>
            </w:r>
          </w:p>
        </w:tc>
      </w:tr>
      <w:tr>
        <w:tc>
          <w:tcPr>
            <w:tcW w:type="dxa" w:w="3175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账号</w:t>
            </w:r>
          </w:p>
        </w:tc>
        <w:tc>
          <w:tcPr>
            <w:tcW w:type="dxa" w:w="3175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专用非特权账号</w:t>
            </w:r>
          </w:p>
        </w:tc>
        <w:tc>
          <w:tcPr>
            <w:tcW w:type="dxa" w:w="3175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禁止 root 运行</w:t>
            </w:r>
          </w:p>
        </w:tc>
      </w:tr>
      <w:tr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日志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本地 + 集中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默认不记录 PHI 载荷</w:t>
            </w:r>
          </w:p>
        </w:tc>
      </w:tr>
    </w:tbl>
    <w:p/>
    <w:p>
      <w:pPr>
        <w:pStyle w:val="Heading2"/>
      </w:pPr>
      <w:r>
        <w:t>3. 配置步骤</w:t>
      </w:r>
    </w:p>
    <w:p>
      <w:pPr>
        <w:pStyle w:val="Heading3"/>
      </w:pPr>
      <w:r>
        <w:t>3.1 创建环境配置</w:t>
      </w:r>
    </w:p>
    <w:p>
      <w:r>
        <w:rPr>
          <w:i w:val="0"/>
        </w:rPr>
        <w:t xml:space="preserve">从 </w:t>
      </w:r>
      <w:r>
        <w:rPr>
          <w:rFonts w:ascii="DejaVu Sans Mono" w:hAnsi="DejaVu Sans Mono"/>
          <w:color w:val="37474F"/>
          <w:sz w:val="18"/>
        </w:rPr>
        <w:t>config/integration.example.json</w:t>
      </w:r>
      <w:r>
        <w:rPr>
          <w:i w:val="0"/>
        </w:rPr>
        <w:t xml:space="preserve"> 或 </w:t>
      </w:r>
      <w:r>
        <w:rPr>
          <w:rFonts w:ascii="DejaVu Sans Mono" w:hAnsi="DejaVu Sans Mono"/>
          <w:color w:val="37474F"/>
          <w:sz w:val="18"/>
        </w:rPr>
        <w:t>integration.container.json</w:t>
      </w:r>
      <w:r>
        <w:rPr>
          <w:i w:val="0"/>
        </w:rPr>
        <w:t xml:space="preserve"> 复制。必须检查：</w:t>
      </w:r>
    </w:p>
    <w:p>
      <w:pPr>
        <w:pStyle w:val="ListBullet"/>
      </w:pPr>
      <w:r>
        <w:rPr>
          <w:rFonts w:ascii="DejaVu Sans Mono" w:hAnsi="DejaVu Sans Mono"/>
          <w:color w:val="37474F"/>
          <w:sz w:val="18"/>
        </w:rPr>
        <w:t>environment</w:t>
      </w:r>
      <w:r>
        <w:rPr>
          <w:i w:val="0"/>
        </w:rPr>
        <w:t xml:space="preserve"> 不应在生产仍为 </w:t>
      </w:r>
      <w:r>
        <w:rPr>
          <w:rFonts w:ascii="DejaVu Sans Mono" w:hAnsi="DejaVu Sans Mono"/>
          <w:color w:val="37474F"/>
          <w:sz w:val="18"/>
        </w:rPr>
        <w:t>demo</w:t>
      </w:r>
      <w:r>
        <w:rPr>
          <w:i w:val="0"/>
        </w:rPr>
        <w:t>；</w:t>
      </w:r>
    </w:p>
    <w:p>
      <w:pPr>
        <w:pStyle w:val="ListBullet"/>
      </w:pPr>
      <w:r>
        <w:rPr>
          <w:i w:val="0"/>
        </w:rPr>
        <w:t>数据库与交换目录应为绝对路径或明确挂载；</w:t>
      </w:r>
    </w:p>
    <w:p>
      <w:pPr>
        <w:pStyle w:val="ListBullet"/>
      </w:pPr>
      <w:r>
        <w:rPr>
          <w:i w:val="0"/>
        </w:rPr>
        <w:t>演示令牌应禁用；</w:t>
      </w:r>
    </w:p>
    <w:p>
      <w:pPr>
        <w:pStyle w:val="ListBullet"/>
      </w:pPr>
      <w:r>
        <w:rPr>
          <w:i w:val="0"/>
        </w:rPr>
        <w:t>HMAC/核心令牌从环境或密钥系统注入；</w:t>
      </w:r>
    </w:p>
    <w:p>
      <w:pPr>
        <w:pStyle w:val="ListBullet"/>
      </w:pPr>
      <w:r>
        <w:rPr>
          <w:rFonts w:ascii="DejaVu Sans Mono" w:hAnsi="DejaVu Sans Mono"/>
          <w:color w:val="37474F"/>
          <w:sz w:val="18"/>
        </w:rPr>
        <w:t>trusted_proxy_cidrs</w:t>
      </w:r>
      <w:r>
        <w:rPr>
          <w:i w:val="0"/>
        </w:rPr>
        <w:t xml:space="preserve"> 只包含真实身份网关地址；</w:t>
      </w:r>
    </w:p>
    <w:p>
      <w:pPr>
        <w:pStyle w:val="ListBullet"/>
      </w:pPr>
      <w:r>
        <w:rPr>
          <w:rFonts w:ascii="DejaVu Sans Mono" w:hAnsi="DejaVu Sans Mono"/>
          <w:color w:val="37474F"/>
          <w:sz w:val="18"/>
        </w:rPr>
        <w:t>require_https_headers=true</w:t>
      </w:r>
      <w:r>
        <w:rPr>
          <w:i w:val="0"/>
        </w:rPr>
        <w:t>；</w:t>
      </w:r>
    </w:p>
    <w:p>
      <w:pPr>
        <w:pStyle w:val="ListBullet"/>
      </w:pPr>
      <w:r>
        <w:rPr>
          <w:rFonts w:ascii="DejaVu Sans Mono" w:hAnsi="DejaVu Sans Mono"/>
          <w:color w:val="37474F"/>
          <w:sz w:val="18"/>
        </w:rPr>
        <w:t>phi_logging=false</w:t>
      </w:r>
      <w:r>
        <w:rPr>
          <w:i w:val="0"/>
        </w:rPr>
        <w:t>；</w:t>
      </w:r>
    </w:p>
    <w:p>
      <w:pPr>
        <w:pStyle w:val="ListBullet"/>
      </w:pPr>
      <w:r>
        <w:rPr>
          <w:i w:val="0"/>
        </w:rPr>
        <w:t xml:space="preserve">三个自治临床动作保持 </w:t>
      </w:r>
      <w:r>
        <w:rPr>
          <w:rFonts w:ascii="DejaVu Sans Mono" w:hAnsi="DejaVu Sans Mono"/>
          <w:color w:val="37474F"/>
          <w:sz w:val="18"/>
        </w:rPr>
        <w:t>false</w:t>
      </w:r>
      <w:r>
        <w:rPr>
          <w:i w:val="0"/>
        </w:rPr>
        <w:t>；</w:t>
      </w:r>
    </w:p>
    <w:p>
      <w:pPr>
        <w:pStyle w:val="ListBullet"/>
      </w:pPr>
      <w:r>
        <w:rPr>
          <w:rFonts w:ascii="DejaVu Sans Mono" w:hAnsi="DejaVu Sans Mono"/>
          <w:color w:val="37474F"/>
          <w:sz w:val="18"/>
        </w:rPr>
        <w:t>core.mode=staging_only</w:t>
      </w:r>
      <w:r>
        <w:rPr>
          <w:i w:val="0"/>
        </w:rPr>
        <w:t>，直到通过院方写回验收。</w:t>
      </w:r>
    </w:p>
    <w:p>
      <w:pPr>
        <w:pStyle w:val="Heading3"/>
      </w:pPr>
      <w:r>
        <w:t>3.2 配置身份</w:t>
      </w:r>
    </w:p>
    <w:p>
      <w:r>
        <w:rPr>
          <w:i w:val="0"/>
        </w:rPr>
        <w:t>推荐流程：用户登录院方统一身份平台，身份网关验证后向本系统传递受保护头部。本系统只信任来自配置 CIDR 的代理。任何终端直接发送的身份头均不得被接受。</w:t>
      </w:r>
    </w:p>
    <w:p>
      <w:r>
        <w:rPr>
          <w:i w:val="0"/>
        </w:rPr>
        <w:t>需要确认的属性：主体 ID、姓名显示、角色、科室、机构、会话 ID、认证时间、强认证级别。角色映射必须由院方确认，不能仅按职位名称猜测。</w:t>
      </w:r>
    </w:p>
    <w:p>
      <w:pPr>
        <w:pStyle w:val="Heading3"/>
      </w:pPr>
      <w:r>
        <w:t>3.3 配置连接器</w:t>
      </w:r>
    </w:p>
    <w:p>
      <w:r>
        <w:rPr>
          <w:i w:val="0"/>
        </w:rPr>
        <w:t>每个连接器包含：ID、类型、方向、端点、认证、超时、重试、映射版本、允许消息/资源、写策略和负责人。将模板复制为现场配置，不要直接修改模板。</w:t>
      </w:r>
    </w:p>
    <w:p>
      <w:pPr>
        <w:pStyle w:val="Heading3"/>
      </w:pPr>
      <w:r>
        <w:t>3.4 配置映射</w:t>
      </w:r>
    </w:p>
    <w:p>
      <w:r>
        <w:rPr>
          <w:i w:val="0"/>
        </w:rPr>
        <w:t>映射文件必须版本化。至少记录：源字段、目标字段、必填性、类型、代码集、单位、空值、日期时区、重复字段、异常处理和无法表达的残差。</w:t>
      </w:r>
    </w:p>
    <w:p>
      <w:pPr>
        <w:pStyle w:val="Heading2"/>
      </w:pPr>
      <w:r>
        <w:t>4. 启动与检查</w:t>
      </w:r>
    </w:p>
    <w:p>
      <w:pPr>
        <w:pStyle w:val="CodeBlock"/>
      </w:pPr>
      <w:r>
        <w:t>python run_mesh81.py config-check --config /etc/pudong-mesh81/integration.json</w:t>
        <w:br/>
        <w:t>python run_mesh81.py qa --config /etc/pudong-mesh81/integration.json</w:t>
        <w:br/>
        <w:t>python run_mesh81.py integrated --config /etc/pudong-mesh81/integration.json</w:t>
      </w:r>
    </w:p>
    <w:p>
      <w:r>
        <w:rPr>
          <w:i w:val="0"/>
        </w:rPr>
        <w:t>检查项：</w:t>
      </w:r>
    </w:p>
    <w:p>
      <w:pPr>
        <w:pStyle w:val="ListBullet"/>
      </w:pPr>
      <w:r>
        <w:rPr>
          <w:rFonts w:ascii="DejaVu Sans Mono" w:hAnsi="DejaVu Sans Mono"/>
          <w:color w:val="37474F"/>
          <w:sz w:val="18"/>
        </w:rPr>
        <w:t>/api/integration/live</w:t>
      </w:r>
      <w:r>
        <w:rPr>
          <w:i w:val="0"/>
        </w:rPr>
        <w:t xml:space="preserve"> 返回进程存活；</w:t>
      </w:r>
    </w:p>
    <w:p>
      <w:pPr>
        <w:pStyle w:val="ListBullet"/>
      </w:pPr>
      <w:r>
        <w:rPr>
          <w:rFonts w:ascii="DejaVu Sans Mono" w:hAnsi="DejaVu Sans Mono"/>
          <w:color w:val="37474F"/>
          <w:sz w:val="18"/>
        </w:rPr>
        <w:t>/api/integration/ready</w:t>
      </w:r>
      <w:r>
        <w:rPr>
          <w:i w:val="0"/>
        </w:rPr>
        <w:t xml:space="preserve"> 检查数据库、配置和审计；</w:t>
      </w:r>
    </w:p>
    <w:p>
      <w:pPr>
        <w:pStyle w:val="ListBullet"/>
      </w:pPr>
      <w:r>
        <w:rPr>
          <w:rFonts w:ascii="DejaVu Sans Mono" w:hAnsi="DejaVu Sans Mono"/>
          <w:color w:val="37474F"/>
          <w:sz w:val="18"/>
        </w:rPr>
        <w:t>/api/integration/health</w:t>
      </w:r>
      <w:r>
        <w:rPr>
          <w:i w:val="0"/>
        </w:rPr>
        <w:t xml:space="preserve"> 显示连接器状态；</w:t>
      </w:r>
    </w:p>
    <w:p>
      <w:pPr>
        <w:pStyle w:val="ListBullet"/>
      </w:pPr>
      <w:r>
        <w:rPr>
          <w:rFonts w:ascii="DejaVu Sans Mono" w:hAnsi="DejaVu Sans Mono"/>
          <w:color w:val="37474F"/>
          <w:sz w:val="18"/>
        </w:rPr>
        <w:t>/fhir/R4/metadata</w:t>
      </w:r>
      <w:r>
        <w:rPr>
          <w:i w:val="0"/>
        </w:rPr>
        <w:t xml:space="preserve"> 返回 CapabilityStatement；</w:t>
      </w:r>
    </w:p>
    <w:p>
      <w:pPr>
        <w:pStyle w:val="ListBullet"/>
      </w:pPr>
      <w:r>
        <w:rPr>
          <w:i w:val="0"/>
        </w:rPr>
        <w:t>原临床工作台和集成控制台可访问；</w:t>
      </w:r>
    </w:p>
    <w:p>
      <w:pPr>
        <w:pStyle w:val="ListBullet"/>
      </w:pPr>
      <w:r>
        <w:rPr>
          <w:i w:val="0"/>
        </w:rPr>
        <w:t>审计链验证有效；</w:t>
      </w:r>
    </w:p>
    <w:p>
      <w:pPr>
        <w:pStyle w:val="ListBullet"/>
      </w:pPr>
      <w:r>
        <w:rPr>
          <w:i w:val="0"/>
        </w:rPr>
        <w:t>写回连接器仍处于暂存或关闭状态。</w:t>
      </w:r>
    </w:p>
    <w:p>
      <w:pPr>
        <w:pStyle w:val="Heading2"/>
      </w:pPr>
      <w:r>
        <w:t>5. 反向代理与 TLS</w:t>
      </w:r>
    </w:p>
    <w:p>
      <w:r>
        <w:rPr>
          <w:i w:val="0"/>
        </w:rPr>
        <w:t xml:space="preserve">使用 </w:t>
      </w:r>
      <w:r>
        <w:rPr>
          <w:rFonts w:ascii="DejaVu Sans Mono" w:hAnsi="DejaVu Sans Mono"/>
          <w:color w:val="37474F"/>
          <w:sz w:val="18"/>
        </w:rPr>
        <w:t>deploy/nginx/mesh81.conf</w:t>
      </w:r>
      <w:r>
        <w:rPr>
          <w:i w:val="0"/>
        </w:rPr>
        <w:t xml:space="preserve"> 作为示例。真实证书、密码套件、国密、WAF、API 网关、客户端证书和访问控制由院方安全架构确定。不得把演示 HTTP 监听当作生产安全边界。</w:t>
      </w:r>
    </w:p>
    <w:p>
      <w:pPr>
        <w:pStyle w:val="Heading2"/>
      </w:pPr>
      <w:r>
        <w:t>6. 数据库与规模</w:t>
      </w:r>
    </w:p>
    <w:p>
      <w:r>
        <w:rPr>
          <w:i w:val="0"/>
        </w:rPr>
        <w:t>SQLite WAL 适合单节点试点和可检查原型。若需要多副本写、高并发、长周期大数据或区域级部署，应实现院方批准的数据库适配器，并保留：事务、乐观并发、幂等、审计链、加密、备份、恢复和数据迁移语义。不可仅把 SQLite 文件放在不支持锁语义的共享文件系统上实现多写。</w:t>
      </w:r>
    </w:p>
    <w:p>
      <w:pPr>
        <w:pStyle w:val="Heading2"/>
      </w:pPr>
      <w:r>
        <w:t>7. 升级和回滚</w:t>
      </w:r>
    </w:p>
    <w:p>
      <w:pPr>
        <w:pStyle w:val="ListNumber"/>
      </w:pPr>
      <w:r>
        <w:rPr>
          <w:i w:val="0"/>
        </w:rPr>
        <w:t>冻结新消息或切换为只读；</w:t>
      </w:r>
    </w:p>
    <w:p>
      <w:pPr>
        <w:pStyle w:val="ListNumber"/>
      </w:pPr>
      <w:r>
        <w:rPr>
          <w:i w:val="0"/>
        </w:rPr>
        <w:t>完成一致性备份并验证摘要；</w:t>
      </w:r>
    </w:p>
    <w:p>
      <w:pPr>
        <w:pStyle w:val="ListNumber"/>
      </w:pPr>
      <w:r>
        <w:rPr>
          <w:i w:val="0"/>
        </w:rPr>
        <w:t>导出配置、映射版本和连接器状态；</w:t>
      </w:r>
    </w:p>
    <w:p>
      <w:pPr>
        <w:pStyle w:val="ListNumber"/>
      </w:pPr>
      <w:r>
        <w:rPr>
          <w:i w:val="0"/>
        </w:rPr>
        <w:t>在预生产环境执行迁移和全量 QA；</w:t>
      </w:r>
    </w:p>
    <w:p>
      <w:pPr>
        <w:pStyle w:val="ListNumber"/>
      </w:pPr>
      <w:r>
        <w:rPr>
          <w:i w:val="0"/>
        </w:rPr>
        <w:t>生产升级后先只读检查，再恢复入站和出站；</w:t>
      </w:r>
    </w:p>
    <w:p>
      <w:pPr>
        <w:pStyle w:val="ListNumber"/>
      </w:pPr>
      <w:r>
        <w:rPr>
          <w:i w:val="0"/>
        </w:rPr>
        <w:t>出现不可接受错误时，停止发送、隔离升级后输出、恢复最近密封版本并记录事件；</w:t>
      </w:r>
    </w:p>
    <w:p>
      <w:pPr>
        <w:pStyle w:val="ListNumber"/>
      </w:pPr>
      <w:r>
        <w:rPr>
          <w:i w:val="0"/>
        </w:rPr>
        <w:t>不回滚审计历史，使用追加事件说明回滚。</w:t>
      </w:r>
    </w:p>
    <w:p>
      <w:r>
        <w:br w:type="page"/>
      </w:r>
    </w:p>
    <w:p>
      <w:pPr>
        <w:pStyle w:val="Heading1"/>
      </w:pPr>
      <w:r>
        <w:t>完整用户手册</w:t>
      </w:r>
    </w:p>
    <w:p>
      <w:pPr>
        <w:pStyle w:val="Heading2"/>
      </w:pPr>
      <w:r>
        <w:t>1. 适用对象</w:t>
      </w:r>
    </w:p>
    <w:p>
      <w:r>
        <w:rPr>
          <w:i w:val="0"/>
        </w:rPr>
        <w:t>本手册面向系统管理员、集成工程师、中医临床人员、分诊护理人员、康复治疗人员、质量管理人员、科研观察人员、安全审计人员和患者代理角色。实际账号、执业资格与权限由医院统一身份和制度决定，软件中的角色名称不能代替真实资质。</w:t>
      </w:r>
    </w:p>
    <w:p>
      <w:pPr>
        <w:pStyle w:val="Heading2"/>
      </w:pPr>
      <w:r>
        <w:t>2. 两个工作台</w:t>
      </w:r>
    </w:p>
    <w:p>
      <w:pPr>
        <w:pStyle w:val="Heading3"/>
      </w:pPr>
      <w:r>
        <w:t>2.1 临床工作台（默认 8788）</w:t>
      </w:r>
    </w:p>
    <w:p>
      <w:r>
        <w:rPr>
          <w:i w:val="0"/>
        </w:rPr>
        <w:t>用于主动采集、四诊表达、病种路径、人工诊疗方案、康复任务、随访、转诊和团队复核。临床工作台的所有诊疗内容均由有权限的人录入或确认。</w:t>
      </w:r>
    </w:p>
    <w:p>
      <w:pPr>
        <w:pStyle w:val="Heading3"/>
      </w:pPr>
      <w:r>
        <w:t>2.2 集成控制台（默认 8790）</w:t>
      </w:r>
    </w:p>
    <w:p>
      <w:r>
        <w:rPr>
          <w:i w:val="0"/>
        </w:rPr>
        <w:t>用于查看接口健康、入站/出站消息、死信、患者主索引候选、FHIR 资源、同意、签名信封、临床暂存和审计。普通临床用户通常不需要管理连接器。</w:t>
      </w:r>
    </w:p>
    <w:p>
      <w:pPr>
        <w:pStyle w:val="Heading2"/>
      </w:pPr>
      <w:r>
        <w:t>3. 登录和会话</w:t>
      </w:r>
    </w:p>
    <w:p>
      <w:pPr>
        <w:pStyle w:val="Heading3"/>
      </w:pPr>
      <w:r>
        <w:t>演示环境</w:t>
      </w:r>
    </w:p>
    <w:p>
      <w:r>
        <w:rPr>
          <w:i w:val="0"/>
        </w:rPr>
        <w:t>使用配置中的演示令牌或原系统演示账号。演示身份只用于合成数据。</w:t>
      </w:r>
    </w:p>
    <w:p>
      <w:pPr>
        <w:pStyle w:val="Heading3"/>
      </w:pPr>
      <w:r>
        <w:t>生产环境</w:t>
      </w:r>
    </w:p>
    <w:p>
      <w:r>
        <w:rPr>
          <w:i w:val="0"/>
        </w:rPr>
        <w:t>用户应先通过医院统一身份平台登录。页面或 API 收到的主体、角色、科室必须来自受信身份网关。发现角色不符、科室缺失、会话过期或异常登录时，应停止操作并联系管理员。</w:t>
      </w:r>
    </w:p>
    <w:p>
      <w:pPr>
        <w:pStyle w:val="Heading2"/>
      </w:pPr>
      <w:r>
        <w:t>4. 临床工作流操作</w:t>
      </w:r>
    </w:p>
    <w:p>
      <w:pPr>
        <w:pStyle w:val="Heading3"/>
      </w:pPr>
      <w:r>
        <w:t>4.1 创建/打开病例</w:t>
      </w:r>
    </w:p>
    <w:p>
      <w:pPr>
        <w:pStyle w:val="ListNumber"/>
      </w:pPr>
      <w:r>
        <w:rPr>
          <w:i w:val="0"/>
        </w:rPr>
        <w:t>搜索患者或打开已分配病例；</w:t>
      </w:r>
    </w:p>
    <w:p>
      <w:pPr>
        <w:pStyle w:val="ListNumber"/>
      </w:pPr>
      <w:r>
        <w:rPr>
          <w:i w:val="0"/>
        </w:rPr>
        <w:t>核对患者标识、姓名掩码、出生日期、就诊号、院区和当前接触；</w:t>
      </w:r>
    </w:p>
    <w:p>
      <w:pPr>
        <w:pStyle w:val="ListNumber"/>
      </w:pPr>
      <w:r>
        <w:rPr>
          <w:i w:val="0"/>
        </w:rPr>
        <w:t>若出现 MPI 候选或身份冲突标记，不得继续高影响录入，先交由授权人员核对；</w:t>
      </w:r>
    </w:p>
    <w:p>
      <w:pPr>
        <w:pStyle w:val="ListNumber"/>
      </w:pPr>
      <w:r>
        <w:rPr>
          <w:i w:val="0"/>
        </w:rPr>
        <w:t>新建病例时只使用当前任务所需的最少信息。</w:t>
      </w:r>
    </w:p>
    <w:p>
      <w:pPr>
        <w:pStyle w:val="Heading3"/>
      </w:pPr>
      <w:r>
        <w:t>4.2 主动意图采集</w:t>
      </w:r>
    </w:p>
    <w:p>
      <w:r>
        <w:rPr>
          <w:i w:val="0"/>
        </w:rPr>
        <w:t>记录患者原始表达、观察者、来源类型、时间、精度和状态。系统生成的问题队列用于补全工作流，不是自动诊断问卷。对“推断”或“争议”内容必须保留状态，不能改写为患者明确陈述。</w:t>
      </w:r>
    </w:p>
    <w:p>
      <w:pPr>
        <w:pStyle w:val="Heading3"/>
      </w:pPr>
      <w:r>
        <w:t>4.3 四诊表达账本</w:t>
      </w:r>
    </w:p>
    <w:p>
      <w:r>
        <w:rPr>
          <w:i w:val="0"/>
        </w:rPr>
        <w:t>望、闻、问、切均保存原始表达、代码、观察者、时间、范围、来源与证据可靠性。录入时：</w:t>
      </w:r>
    </w:p>
    <w:p>
      <w:pPr>
        <w:pStyle w:val="ListBullet"/>
      </w:pPr>
      <w:r>
        <w:rPr>
          <w:i w:val="0"/>
        </w:rPr>
        <w:t>先保留原始表达，再选择代码；</w:t>
      </w:r>
    </w:p>
    <w:p>
      <w:pPr>
        <w:pStyle w:val="ListBullet"/>
      </w:pPr>
      <w:r>
        <w:rPr>
          <w:i w:val="0"/>
        </w:rPr>
        <w:t>不把同名标签强制视为同一语义；</w:t>
      </w:r>
    </w:p>
    <w:p>
      <w:pPr>
        <w:pStyle w:val="ListBullet"/>
      </w:pPr>
      <w:r>
        <w:rPr>
          <w:i w:val="0"/>
        </w:rPr>
        <w:t>临床限定字段只由有资格角色录入；</w:t>
      </w:r>
    </w:p>
    <w:p>
      <w:pPr>
        <w:pStyle w:val="ListBullet"/>
      </w:pPr>
      <w:r>
        <w:rPr>
          <w:i w:val="0"/>
        </w:rPr>
        <w:t>发现单位、时间或观察者错误时追加更正，不静默覆盖审计记录。</w:t>
      </w:r>
    </w:p>
    <w:p>
      <w:pPr>
        <w:pStyle w:val="Heading3"/>
      </w:pPr>
      <w:r>
        <w:t>4.4 病种路径</w:t>
      </w:r>
    </w:p>
    <w:p>
      <w:r>
        <w:rPr>
          <w:i w:val="0"/>
        </w:rPr>
        <w:t>路径可以是明确、临床确认、语境推断或争议状态，可并行或竞争。选择路径前核对来源、覆盖程度、观察者匹配和当前阶段。系统中的病种包是工作流容器，不自动构成诊断。</w:t>
      </w:r>
    </w:p>
    <w:p>
      <w:pPr>
        <w:pStyle w:val="Heading3"/>
      </w:pPr>
      <w:r>
        <w:t>4.5 人工诊疗方案</w:t>
      </w:r>
    </w:p>
    <w:p>
      <w:r>
        <w:rPr>
          <w:i w:val="0"/>
        </w:rPr>
        <w:t>方案模块记录医务人员形成的内容。高风险类别要求相应角色和人工复核。系统不会自动生成处方、剂量、穴位组合或急诊处置。任何从外部系统导入的建议都应显示来源并先暂存。</w:t>
      </w:r>
    </w:p>
    <w:p>
      <w:pPr>
        <w:pStyle w:val="Heading3"/>
      </w:pPr>
      <w:r>
        <w:t>4.6 康复与随访</w:t>
      </w:r>
    </w:p>
    <w:p>
      <w:r>
        <w:rPr>
          <w:i w:val="0"/>
        </w:rPr>
        <w:t>按照“意图—目标—任务—打卡—观察趋势—残差—新问题”维护。趋势只辅助观察，不自动改变治疗、训练或用药。异常情况按医院既有流程处理，不能仅依赖本系统告警。</w:t>
      </w:r>
    </w:p>
    <w:p>
      <w:pPr>
        <w:pStyle w:val="Heading3"/>
      </w:pPr>
      <w:r>
        <w:t>4.7 双向转诊</w:t>
      </w:r>
    </w:p>
    <w:p>
      <w:r>
        <w:rPr>
          <w:i w:val="0"/>
        </w:rPr>
        <w:t>录入转诊类型、原因、目标机构、必要资料、联系人和期望回转条件。系统只有在接入真实号源/床位接口并获得明确回执后，才可显示实时资源状态；否则显示“目录/元数据”而不是“已预约”。</w:t>
      </w:r>
    </w:p>
    <w:p>
      <w:pPr>
        <w:pStyle w:val="Heading2"/>
      </w:pPr>
      <w:r>
        <w:t>5. 集成控制台操作</w:t>
      </w:r>
    </w:p>
    <w:p>
      <w:pPr>
        <w:pStyle w:val="Heading3"/>
      </w:pPr>
      <w:r>
        <w:t>5.1 首页指标</w:t>
      </w:r>
    </w:p>
    <w:p>
      <w:r>
        <w:rPr>
          <w:i w:val="0"/>
        </w:rPr>
        <w:t>关注：</w:t>
      </w:r>
    </w:p>
    <w:p>
      <w:pPr>
        <w:pStyle w:val="ListBullet"/>
      </w:pPr>
      <w:r>
        <w:rPr>
          <w:i w:val="0"/>
        </w:rPr>
        <w:t>入站接收/拒绝/重复；</w:t>
      </w:r>
    </w:p>
    <w:p>
      <w:pPr>
        <w:pStyle w:val="ListBullet"/>
      </w:pPr>
      <w:r>
        <w:rPr>
          <w:i w:val="0"/>
        </w:rPr>
        <w:t>出站待发送/重试/死信；</w:t>
      </w:r>
    </w:p>
    <w:p>
      <w:pPr>
        <w:pStyle w:val="ListBullet"/>
      </w:pPr>
      <w:r>
        <w:rPr>
          <w:i w:val="0"/>
        </w:rPr>
        <w:t>MPI 未决候选；</w:t>
      </w:r>
    </w:p>
    <w:p>
      <w:pPr>
        <w:pStyle w:val="ListBullet"/>
      </w:pPr>
      <w:r>
        <w:rPr>
          <w:i w:val="0"/>
        </w:rPr>
        <w:t>临床暂存待审核；</w:t>
      </w:r>
    </w:p>
    <w:p>
      <w:pPr>
        <w:pStyle w:val="ListBullet"/>
      </w:pPr>
      <w:r>
        <w:rPr>
          <w:i w:val="0"/>
        </w:rPr>
        <w:t>连接器健康；</w:t>
      </w:r>
    </w:p>
    <w:p>
      <w:pPr>
        <w:pStyle w:val="ListBullet"/>
      </w:pPr>
      <w:r>
        <w:rPr>
          <w:i w:val="0"/>
        </w:rPr>
        <w:t>审计链有效性。</w:t>
      </w:r>
    </w:p>
    <w:p>
      <w:r>
        <w:rPr>
          <w:i w:val="0"/>
        </w:rPr>
        <w:t>指标反映工程状态，不等于临床质量结论。</w:t>
      </w:r>
    </w:p>
    <w:p>
      <w:pPr>
        <w:pStyle w:val="Heading3"/>
      </w:pPr>
      <w:r>
        <w:t>5.2 入站消息</w:t>
      </w:r>
    </w:p>
    <w:p>
      <w:r>
        <w:rPr>
          <w:i w:val="0"/>
        </w:rPr>
        <w:t>打开消息可查看：来源、协议、消息 ID、接收时间、原始摘要、解析状态、患者解析、映射版本、资源列表、语义护照和残差。</w:t>
      </w:r>
    </w:p>
    <w:p>
      <w:r>
        <w:rPr>
          <w:i w:val="0"/>
        </w:rPr>
        <w:t>处理原则：</w:t>
      </w:r>
    </w:p>
    <w:p>
      <w:pPr>
        <w:pStyle w:val="ListBullet"/>
      </w:pPr>
      <w:r>
        <w:rPr>
          <w:rFonts w:ascii="DejaVu Sans Mono" w:hAnsi="DejaVu Sans Mono"/>
          <w:color w:val="37474F"/>
          <w:sz w:val="18"/>
        </w:rPr>
        <w:t>received</w:t>
      </w:r>
      <w:r>
        <w:rPr>
          <w:i w:val="0"/>
        </w:rPr>
        <w:t>：已接收，未必完成解析；</w:t>
      </w:r>
    </w:p>
    <w:p>
      <w:pPr>
        <w:pStyle w:val="ListBullet"/>
      </w:pPr>
      <w:r>
        <w:rPr>
          <w:rFonts w:ascii="DejaVu Sans Mono" w:hAnsi="DejaVu Sans Mono"/>
          <w:color w:val="37474F"/>
          <w:sz w:val="18"/>
        </w:rPr>
        <w:t>processed</w:t>
      </w:r>
      <w:r>
        <w:rPr>
          <w:i w:val="0"/>
        </w:rPr>
        <w:t>：已转换和存储，不等于临床确认；</w:t>
      </w:r>
    </w:p>
    <w:p>
      <w:pPr>
        <w:pStyle w:val="ListBullet"/>
      </w:pPr>
      <w:r>
        <w:rPr>
          <w:rFonts w:ascii="DejaVu Sans Mono" w:hAnsi="DejaVu Sans Mono"/>
          <w:color w:val="37474F"/>
          <w:sz w:val="18"/>
        </w:rPr>
        <w:t>duplicate</w:t>
      </w:r>
      <w:r>
        <w:rPr>
          <w:i w:val="0"/>
        </w:rPr>
        <w:t>：幂等键重复，系统未重复创建；</w:t>
      </w:r>
    </w:p>
    <w:p>
      <w:pPr>
        <w:pStyle w:val="ListBullet"/>
      </w:pPr>
      <w:r>
        <w:rPr>
          <w:rFonts w:ascii="DejaVu Sans Mono" w:hAnsi="DejaVu Sans Mono"/>
          <w:color w:val="37474F"/>
          <w:sz w:val="18"/>
        </w:rPr>
        <w:t>rejected</w:t>
      </w:r>
      <w:r>
        <w:rPr>
          <w:i w:val="0"/>
        </w:rPr>
        <w:t>：协议、安全、权限或数据校验失败；</w:t>
      </w:r>
    </w:p>
    <w:p>
      <w:pPr>
        <w:pStyle w:val="ListBullet"/>
      </w:pPr>
      <w:r>
        <w:rPr>
          <w:rFonts w:ascii="DejaVu Sans Mono" w:hAnsi="DejaVu Sans Mono"/>
          <w:color w:val="37474F"/>
          <w:sz w:val="18"/>
        </w:rPr>
        <w:t>needs_review</w:t>
      </w:r>
      <w:r>
        <w:rPr>
          <w:i w:val="0"/>
        </w:rPr>
        <w:t>：身份或语义仍不确定。</w:t>
      </w:r>
    </w:p>
    <w:p>
      <w:pPr>
        <w:pStyle w:val="Heading3"/>
      </w:pPr>
      <w:r>
        <w:t>5.3 出站消息</w:t>
      </w:r>
    </w:p>
    <w:p>
      <w:r>
        <w:rPr>
          <w:i w:val="0"/>
        </w:rPr>
        <w:t>创建出站任务前选择连接器、资源/载荷、用途、目标和幂等键。队列状态：</w:t>
      </w:r>
    </w:p>
    <w:p>
      <w:pPr>
        <w:pStyle w:val="ListBullet"/>
      </w:pPr>
      <w:r>
        <w:rPr>
          <w:rFonts w:ascii="DejaVu Sans Mono" w:hAnsi="DejaVu Sans Mono"/>
          <w:color w:val="37474F"/>
          <w:sz w:val="18"/>
        </w:rPr>
        <w:t>queued</w:t>
      </w:r>
      <w:r>
        <w:rPr>
          <w:i w:val="0"/>
        </w:rPr>
        <w:t xml:space="preserve"> 等待；</w:t>
      </w:r>
    </w:p>
    <w:p>
      <w:pPr>
        <w:pStyle w:val="ListBullet"/>
      </w:pPr>
      <w:r>
        <w:rPr>
          <w:rFonts w:ascii="DejaVu Sans Mono" w:hAnsi="DejaVu Sans Mono"/>
          <w:color w:val="37474F"/>
          <w:sz w:val="18"/>
        </w:rPr>
        <w:t>leased</w:t>
      </w:r>
      <w:r>
        <w:rPr>
          <w:i w:val="0"/>
        </w:rPr>
        <w:t xml:space="preserve"> 正在发送；</w:t>
      </w:r>
    </w:p>
    <w:p>
      <w:pPr>
        <w:pStyle w:val="ListBullet"/>
      </w:pPr>
      <w:r>
        <w:rPr>
          <w:rFonts w:ascii="DejaVu Sans Mono" w:hAnsi="DejaVu Sans Mono"/>
          <w:color w:val="37474F"/>
          <w:sz w:val="18"/>
        </w:rPr>
        <w:t>delivered</w:t>
      </w:r>
      <w:r>
        <w:rPr>
          <w:i w:val="0"/>
        </w:rPr>
        <w:t xml:space="preserve"> 对方已接受；</w:t>
      </w:r>
    </w:p>
    <w:p>
      <w:pPr>
        <w:pStyle w:val="ListBullet"/>
      </w:pPr>
      <w:r>
        <w:rPr>
          <w:rFonts w:ascii="DejaVu Sans Mono" w:hAnsi="DejaVu Sans Mono"/>
          <w:color w:val="37474F"/>
          <w:sz w:val="18"/>
        </w:rPr>
        <w:t>retry</w:t>
      </w:r>
      <w:r>
        <w:rPr>
          <w:i w:val="0"/>
        </w:rPr>
        <w:t xml:space="preserve"> 可重试失败；</w:t>
      </w:r>
    </w:p>
    <w:p>
      <w:pPr>
        <w:pStyle w:val="ListBullet"/>
      </w:pPr>
      <w:r>
        <w:rPr>
          <w:rFonts w:ascii="DejaVu Sans Mono" w:hAnsi="DejaVu Sans Mono"/>
          <w:color w:val="37474F"/>
          <w:sz w:val="18"/>
        </w:rPr>
        <w:t>dead_letter</w:t>
      </w:r>
      <w:r>
        <w:rPr>
          <w:i w:val="0"/>
        </w:rPr>
        <w:t xml:space="preserve"> 超过上限或不可重试；</w:t>
      </w:r>
    </w:p>
    <w:p>
      <w:pPr>
        <w:pStyle w:val="ListBullet"/>
      </w:pPr>
      <w:r>
        <w:rPr>
          <w:rFonts w:ascii="DejaVu Sans Mono" w:hAnsi="DejaVu Sans Mono"/>
          <w:color w:val="37474F"/>
          <w:sz w:val="18"/>
        </w:rPr>
        <w:t>closed</w:t>
      </w:r>
      <w:r>
        <w:rPr>
          <w:i w:val="0"/>
        </w:rPr>
        <w:t xml:space="preserve"> 经人工确认关闭。</w:t>
      </w:r>
    </w:p>
    <w:p>
      <w:r>
        <w:rPr>
          <w:i w:val="0"/>
        </w:rPr>
        <w:t>不得通过反复点击人为制造多个幂等键绕过去重。</w:t>
      </w:r>
    </w:p>
    <w:p>
      <w:pPr>
        <w:pStyle w:val="Heading3"/>
      </w:pPr>
      <w:r>
        <w:t>5.4 死信处理</w:t>
      </w:r>
    </w:p>
    <w:p>
      <w:pPr>
        <w:pStyle w:val="ListNumber"/>
      </w:pPr>
      <w:r>
        <w:rPr>
          <w:i w:val="0"/>
        </w:rPr>
        <w:t>阅读最后错误、尝试次数和连接器健康；</w:t>
      </w:r>
    </w:p>
    <w:p>
      <w:pPr>
        <w:pStyle w:val="ListNumber"/>
      </w:pPr>
      <w:r>
        <w:rPr>
          <w:i w:val="0"/>
        </w:rPr>
        <w:t>判断是配置、数据、对方系统、证书、网络还是权限问题；</w:t>
      </w:r>
    </w:p>
    <w:p>
      <w:pPr>
        <w:pStyle w:val="ListNumber"/>
      </w:pPr>
      <w:r>
        <w:rPr>
          <w:i w:val="0"/>
        </w:rPr>
        <w:t>修复根因；</w:t>
      </w:r>
    </w:p>
    <w:p>
      <w:pPr>
        <w:pStyle w:val="ListNumber"/>
      </w:pPr>
      <w:r>
        <w:rPr>
          <w:i w:val="0"/>
        </w:rPr>
        <w:t>由有权限人员选择重放或关闭；</w:t>
      </w:r>
    </w:p>
    <w:p>
      <w:pPr>
        <w:pStyle w:val="ListNumber"/>
      </w:pPr>
      <w:r>
        <w:rPr>
          <w:i w:val="0"/>
        </w:rPr>
        <w:t>重放保留原消息和审计，不修改历史；</w:t>
      </w:r>
    </w:p>
    <w:p>
      <w:pPr>
        <w:pStyle w:val="ListNumber"/>
      </w:pPr>
      <w:r>
        <w:rPr>
          <w:i w:val="0"/>
        </w:rPr>
        <w:t>高影响消息重放前再次确认对方未实际执行。</w:t>
      </w:r>
    </w:p>
    <w:p>
      <w:pPr>
        <w:pStyle w:val="Heading3"/>
      </w:pPr>
      <w:r>
        <w:t>5.5 患者主索引（MPI）</w:t>
      </w:r>
    </w:p>
    <w:p>
      <w:r>
        <w:rPr>
          <w:i w:val="0"/>
        </w:rPr>
        <w:t>候选页面显示掩码后的标识、匹配证据和冲突。操作：</w:t>
      </w:r>
    </w:p>
    <w:p>
      <w:pPr>
        <w:pStyle w:val="ListBullet"/>
      </w:pPr>
      <w:r>
        <w:rPr>
          <w:rFonts w:ascii="DejaVu Sans Mono" w:hAnsi="DejaVu Sans Mono"/>
          <w:color w:val="37474F"/>
          <w:sz w:val="18"/>
        </w:rPr>
        <w:t>link</w:t>
      </w:r>
      <w:r>
        <w:rPr>
          <w:i w:val="0"/>
        </w:rPr>
        <w:t>：确认两个标识属于同一患者；</w:t>
      </w:r>
    </w:p>
    <w:p>
      <w:pPr>
        <w:pStyle w:val="ListBullet"/>
      </w:pPr>
      <w:r>
        <w:rPr>
          <w:rFonts w:ascii="DejaVu Sans Mono" w:hAnsi="DejaVu Sans Mono"/>
          <w:color w:val="37474F"/>
          <w:sz w:val="18"/>
        </w:rPr>
        <w:t>reject</w:t>
      </w:r>
      <w:r>
        <w:rPr>
          <w:i w:val="0"/>
        </w:rPr>
        <w:t>：确认不是同一患者；</w:t>
      </w:r>
    </w:p>
    <w:p>
      <w:pPr>
        <w:pStyle w:val="ListBullet"/>
      </w:pPr>
      <w:r>
        <w:rPr>
          <w:rFonts w:ascii="DejaVu Sans Mono" w:hAnsi="DejaVu Sans Mono"/>
          <w:color w:val="37474F"/>
          <w:sz w:val="18"/>
        </w:rPr>
        <w:t>hold</w:t>
      </w:r>
      <w:r>
        <w:rPr>
          <w:i w:val="0"/>
        </w:rPr>
        <w:t>：信息不足，保持未决；</w:t>
      </w:r>
    </w:p>
    <w:p>
      <w:pPr>
        <w:pStyle w:val="ListBullet"/>
      </w:pPr>
      <w:r>
        <w:rPr>
          <w:i w:val="0"/>
        </w:rPr>
        <w:t>禁止自动不可逆合并；</w:t>
      </w:r>
    </w:p>
    <w:p>
      <w:pPr>
        <w:pStyle w:val="ListBullet"/>
      </w:pPr>
      <w:r>
        <w:rPr>
          <w:i w:val="0"/>
        </w:rPr>
        <w:t>链接错误应通过追加纠正解除，并评估受影响数据。</w:t>
      </w:r>
    </w:p>
    <w:p>
      <w:r>
        <w:rPr>
          <w:i w:val="0"/>
        </w:rPr>
        <w:t>姓名相同不能单独作为合并依据。必须结合权威患者号、证件、出生日期、联系方式、就诊关系和院方规则。</w:t>
      </w:r>
    </w:p>
    <w:p>
      <w:pPr>
        <w:pStyle w:val="Heading3"/>
      </w:pPr>
      <w:r>
        <w:t>5.6 同意与用途</w:t>
      </w:r>
    </w:p>
    <w:p>
      <w:r>
        <w:rPr>
          <w:i w:val="0"/>
        </w:rPr>
        <w:t>同意记录包含主体、目的、范围、生效/失效时间、来源和撤回状态。系统检查的是“声明的用途是否有相应记录”，不替代法律或伦理判断。撤回后，新的处理应被阻止；历史数据的保留/删除由院方政策执行。</w:t>
      </w:r>
    </w:p>
    <w:p>
      <w:pPr>
        <w:pStyle w:val="Heading3"/>
      </w:pPr>
      <w:r>
        <w:t>5.7 签名信封</w:t>
      </w:r>
    </w:p>
    <w:p>
      <w:r>
        <w:rPr>
          <w:i w:val="0"/>
        </w:rPr>
        <w:t>签名信封保存载荷摘要、签署者、证书/外部签名标识、时间和验证状态。演示 HMAC 不是真实电子签名。生产文书必须由院方合规电子签名/CA 平台完成，并将验证结果回传。</w:t>
      </w:r>
    </w:p>
    <w:p>
      <w:pPr>
        <w:pStyle w:val="Heading3"/>
      </w:pPr>
      <w:r>
        <w:t>5.8 临床暂存</w:t>
      </w:r>
    </w:p>
    <w:p>
      <w:r>
        <w:rPr>
          <w:i w:val="0"/>
        </w:rPr>
        <w:t>外部数据或出站回写进入暂存项。审核者依次核对：</w:t>
      </w:r>
    </w:p>
    <w:p>
      <w:pPr>
        <w:pStyle w:val="ListNumber"/>
      </w:pPr>
      <w:r>
        <w:rPr>
          <w:i w:val="0"/>
        </w:rPr>
        <w:t>患者与就诊；</w:t>
      </w:r>
    </w:p>
    <w:p>
      <w:pPr>
        <w:pStyle w:val="ListNumber"/>
      </w:pPr>
      <w:r>
        <w:rPr>
          <w:i w:val="0"/>
        </w:rPr>
        <w:t>来源系统与消息；</w:t>
      </w:r>
    </w:p>
    <w:p>
      <w:pPr>
        <w:pStyle w:val="ListNumber"/>
      </w:pPr>
      <w:r>
        <w:rPr>
          <w:i w:val="0"/>
        </w:rPr>
        <w:t>时间、单位、代码和状态；</w:t>
      </w:r>
    </w:p>
    <w:p>
      <w:pPr>
        <w:pStyle w:val="ListNumber"/>
      </w:pPr>
      <w:r>
        <w:rPr>
          <w:i w:val="0"/>
        </w:rPr>
        <w:t>映射残差；</w:t>
      </w:r>
    </w:p>
    <w:p>
      <w:pPr>
        <w:pStyle w:val="ListNumber"/>
      </w:pPr>
      <w:r>
        <w:rPr>
          <w:i w:val="0"/>
        </w:rPr>
        <w:t>目的、同意和权限；</w:t>
      </w:r>
    </w:p>
    <w:p>
      <w:pPr>
        <w:pStyle w:val="ListNumber"/>
      </w:pPr>
      <w:r>
        <w:rPr>
          <w:i w:val="0"/>
        </w:rPr>
        <w:t>是否属于可自动同步的低风险字段；</w:t>
      </w:r>
    </w:p>
    <w:p>
      <w:pPr>
        <w:pStyle w:val="ListNumber"/>
      </w:pPr>
      <w:r>
        <w:rPr>
          <w:i w:val="0"/>
        </w:rPr>
        <w:t>是否需要医师、护士、药师或双人批准。</w:t>
      </w:r>
    </w:p>
    <w:p>
      <w:r>
        <w:rPr>
          <w:i w:val="0"/>
        </w:rPr>
        <w:t>批准只是允许进入既定工作流；不得将批准动作扩展成自动诊断、处方或医嘱。</w:t>
      </w:r>
    </w:p>
    <w:p>
      <w:pPr>
        <w:pStyle w:val="Heading3"/>
      </w:pPr>
      <w:r>
        <w:t>5.9 审计</w:t>
      </w:r>
    </w:p>
    <w:p>
      <w:r>
        <w:rPr>
          <w:i w:val="0"/>
        </w:rPr>
        <w:t>审计页面按时间、主体、动作、对象、结果和请求 ID 查询。管理员可执行审计链验证。任何校验失败应立即停止高影响写回、保全日志和数据库副本、启动事件响应。</w:t>
      </w:r>
    </w:p>
    <w:p>
      <w:pPr>
        <w:pStyle w:val="Heading2"/>
      </w:pPr>
      <w:r>
        <w:t>6. 协议测试台</w:t>
      </w:r>
    </w:p>
    <w:p>
      <w:pPr>
        <w:pStyle w:val="Heading3"/>
      </w:pPr>
      <w:r>
        <w:t>FHIR</w:t>
      </w:r>
    </w:p>
    <w:p>
      <w:r>
        <w:rPr>
          <w:i w:val="0"/>
        </w:rPr>
        <w:t>上传 Bundle 或单资源，先在沙箱验证。查询支持受控参数。FHIR 资源可用于互操作，不表示对方系统已接受全部语义。</w:t>
      </w:r>
    </w:p>
    <w:p>
      <w:pPr>
        <w:pStyle w:val="Heading3"/>
      </w:pPr>
      <w:r>
        <w:t>HL7 v2</w:t>
      </w:r>
    </w:p>
    <w:p>
      <w:r>
        <w:rPr>
          <w:i w:val="0"/>
        </w:rPr>
        <w:t>粘贴合成 ER7 消息，查看 ACK、PID/PV1/OBR/OBX 解析和资源映射。生产 MLLP 必须限制发送端、消息类型、字符集和最大大小。</w:t>
      </w:r>
    </w:p>
    <w:p>
      <w:pPr>
        <w:pStyle w:val="Heading3"/>
      </w:pPr>
      <w:r>
        <w:t>CDA</w:t>
      </w:r>
    </w:p>
    <w:p>
      <w:r>
        <w:rPr>
          <w:i w:val="0"/>
        </w:rPr>
        <w:t>上传不含外部实体的 CDA 文档。系统提取文档标识、患者、作者、时间和章节并暂存。文档原文和签名仍由权威文档系统管理。</w:t>
      </w:r>
    </w:p>
    <w:p>
      <w:pPr>
        <w:pStyle w:val="Heading3"/>
      </w:pPr>
      <w:r>
        <w:t>DICOMweb</w:t>
      </w:r>
    </w:p>
    <w:p>
      <w:r>
        <w:rPr>
          <w:i w:val="0"/>
        </w:rPr>
        <w:t>查询时使用患者/研究标识，优先元数据。下载影像或上传实例需要更严格权限。STOW 默认关闭。</w:t>
      </w:r>
    </w:p>
    <w:p>
      <w:pPr>
        <w:pStyle w:val="Heading2"/>
      </w:pPr>
      <w:r>
        <w:t>7. 角色权限概览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91"/>
        <w:gridCol w:w="1191"/>
        <w:gridCol w:w="1191"/>
        <w:gridCol w:w="1191"/>
        <w:gridCol w:w="1191"/>
        <w:gridCol w:w="1191"/>
        <w:gridCol w:w="1191"/>
        <w:gridCol w:w="1191"/>
      </w:tblGrid>
      <w:tr>
        <w:trPr>
          <w:tblHeader w:val="true"/>
        </w:trPr>
        <w:tc>
          <w:tcPr>
            <w:tcW w:type="dxa" w:w="1191"/>
            <w:vAlign w:val="center"/>
            <w:shd w:fill="2D5F8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1191"/>
            <w:vAlign w:val="center"/>
            <w:shd w:fill="2D5F8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系统管理员</w:t>
            </w:r>
          </w:p>
        </w:tc>
        <w:tc>
          <w:tcPr>
            <w:tcW w:type="dxa" w:w="1191"/>
            <w:vAlign w:val="center"/>
            <w:shd w:fill="2D5F8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集成管理员</w:t>
            </w:r>
          </w:p>
        </w:tc>
        <w:tc>
          <w:tcPr>
            <w:tcW w:type="dxa" w:w="1191"/>
            <w:vAlign w:val="center"/>
            <w:shd w:fill="2D5F8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临床人员</w:t>
            </w:r>
          </w:p>
        </w:tc>
        <w:tc>
          <w:tcPr>
            <w:tcW w:type="dxa" w:w="1191"/>
            <w:vAlign w:val="center"/>
            <w:shd w:fill="2D5F8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护理/康复</w:t>
            </w:r>
          </w:p>
        </w:tc>
        <w:tc>
          <w:tcPr>
            <w:tcW w:type="dxa" w:w="1191"/>
            <w:vAlign w:val="center"/>
            <w:shd w:fill="2D5F8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质量</w:t>
            </w:r>
          </w:p>
        </w:tc>
        <w:tc>
          <w:tcPr>
            <w:tcW w:type="dxa" w:w="1191"/>
            <w:vAlign w:val="center"/>
            <w:shd w:fill="2D5F8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科研只读</w:t>
            </w:r>
          </w:p>
        </w:tc>
        <w:tc>
          <w:tcPr>
            <w:tcW w:type="dxa" w:w="1191"/>
            <w:vAlign w:val="center"/>
            <w:shd w:fill="2D5F8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患者代理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配置连接器</w:t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</w:tr>
      <w:tr>
        <w:tc>
          <w:tcPr>
            <w:tcW w:type="dxa" w:w="1191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查看接口健康</w:t>
            </w:r>
          </w:p>
        </w:tc>
        <w:tc>
          <w:tcPr>
            <w:tcW w:type="dxa" w:w="1191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1191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1191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限制</w:t>
            </w:r>
          </w:p>
        </w:tc>
        <w:tc>
          <w:tcPr>
            <w:tcW w:type="dxa" w:w="1191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限制</w:t>
            </w:r>
          </w:p>
        </w:tc>
        <w:tc>
          <w:tcPr>
            <w:tcW w:type="dxa" w:w="1191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1191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1191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处理死信</w:t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只读</w:t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</w:tr>
      <w:tr>
        <w:tc>
          <w:tcPr>
            <w:tcW w:type="dxa" w:w="1191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MPI 链接</w:t>
            </w:r>
          </w:p>
        </w:tc>
        <w:tc>
          <w:tcPr>
            <w:tcW w:type="dxa" w:w="1191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1191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授权后</w:t>
            </w:r>
          </w:p>
        </w:tc>
        <w:tc>
          <w:tcPr>
            <w:tcW w:type="dxa" w:w="1191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1191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1191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复核</w:t>
            </w:r>
          </w:p>
        </w:tc>
        <w:tc>
          <w:tcPr>
            <w:tcW w:type="dxa" w:w="1191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1191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临床暂存批准</w:t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授权后</w:t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技术审核</w:t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是（职责内）</w:t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职责内</w:t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复核</w:t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</w:tr>
      <w:tr>
        <w:tc>
          <w:tcPr>
            <w:tcW w:type="dxa" w:w="1191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临床方案</w:t>
            </w:r>
          </w:p>
        </w:tc>
        <w:tc>
          <w:tcPr>
            <w:tcW w:type="dxa" w:w="1191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1191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1191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1191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职责内</w:t>
            </w:r>
          </w:p>
        </w:tc>
        <w:tc>
          <w:tcPr>
            <w:tcW w:type="dxa" w:w="1191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只读</w:t>
            </w:r>
          </w:p>
        </w:tc>
        <w:tc>
          <w:tcPr>
            <w:tcW w:type="dxa" w:w="1191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去标识只读</w:t>
            </w:r>
          </w:p>
        </w:tc>
        <w:tc>
          <w:tcPr>
            <w:tcW w:type="dxa" w:w="1191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审计链验证</w:t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119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</w:tr>
    </w:tbl>
    <w:p/>
    <w:p>
      <w:r>
        <w:rPr>
          <w:i w:val="0"/>
        </w:rPr>
        <w:t>现场权限矩阵必须由院方确认并遵循最小权限与职责分离。</w:t>
      </w:r>
    </w:p>
    <w:p>
      <w:pPr>
        <w:pStyle w:val="Heading2"/>
      </w:pPr>
      <w:r>
        <w:t>8. 常见错误</w:t>
      </w:r>
    </w:p>
    <w:p>
      <w:pPr>
        <w:pStyle w:val="ListBullet"/>
      </w:pPr>
      <w:r>
        <w:rPr>
          <w:i w:val="0"/>
        </w:rPr>
        <w:t>401/403：令牌、代理信任或角色不足；</w:t>
      </w:r>
    </w:p>
    <w:p>
      <w:pPr>
        <w:pStyle w:val="ListBullet"/>
      </w:pPr>
      <w:r>
        <w:rPr>
          <w:i w:val="0"/>
        </w:rPr>
        <w:t>409：修订冲突、幂等冲突或重复资源；</w:t>
      </w:r>
    </w:p>
    <w:p>
      <w:pPr>
        <w:pStyle w:val="ListBullet"/>
      </w:pPr>
      <w:r>
        <w:rPr>
          <w:i w:val="0"/>
        </w:rPr>
        <w:t>413：消息超过限制；</w:t>
      </w:r>
    </w:p>
    <w:p>
      <w:pPr>
        <w:pStyle w:val="ListBullet"/>
      </w:pPr>
      <w:r>
        <w:rPr>
          <w:i w:val="0"/>
        </w:rPr>
        <w:t>422：协议/字段校验失败；</w:t>
      </w:r>
    </w:p>
    <w:p>
      <w:pPr>
        <w:pStyle w:val="ListBullet"/>
      </w:pPr>
      <w:r>
        <w:rPr>
          <w:i w:val="0"/>
        </w:rPr>
        <w:t>503：数据库、连接器或对方系统不可用；</w:t>
      </w:r>
    </w:p>
    <w:p>
      <w:pPr>
        <w:pStyle w:val="ListBullet"/>
      </w:pPr>
      <w:r>
        <w:rPr>
          <w:i w:val="0"/>
        </w:rPr>
        <w:t xml:space="preserve">MPI </w:t>
      </w:r>
      <w:r>
        <w:rPr>
          <w:rFonts w:ascii="DejaVu Sans Mono" w:hAnsi="DejaVu Sans Mono"/>
          <w:color w:val="37474F"/>
          <w:sz w:val="18"/>
        </w:rPr>
        <w:t>needs_review</w:t>
      </w:r>
      <w:r>
        <w:rPr>
          <w:i w:val="0"/>
        </w:rPr>
        <w:t>：不能确定患者；</w:t>
      </w:r>
    </w:p>
    <w:p>
      <w:pPr>
        <w:pStyle w:val="ListBullet"/>
      </w:pPr>
      <w:r>
        <w:rPr>
          <w:i w:val="0"/>
        </w:rPr>
        <w:t>队列进入 dead letter：需人工处理；</w:t>
      </w:r>
    </w:p>
    <w:p>
      <w:pPr>
        <w:pStyle w:val="ListBullet"/>
      </w:pPr>
      <w:r>
        <w:rPr>
          <w:i w:val="0"/>
        </w:rPr>
        <w:t>审计链 invalid：立即升级事件。</w:t>
      </w:r>
    </w:p>
    <w:p>
      <w:pPr>
        <w:pStyle w:val="Heading2"/>
      </w:pPr>
      <w:r>
        <w:t>9. 退出与隐私</w:t>
      </w:r>
    </w:p>
    <w:p>
      <w:r>
        <w:rPr>
          <w:i w:val="0"/>
        </w:rPr>
        <w:t>完成操作后退出统一身份会话，关闭共享终端窗口，不把患者信息复制到个人聊天、邮箱、网盘或截图。导出仅在批准目的和安全位置进行。科研角色只能访问经批准的去标识视图。</w:t>
      </w:r>
    </w:p>
    <w:p>
      <w:r>
        <w:br w:type="page"/>
      </w:r>
    </w:p>
    <w:p>
      <w:pPr>
        <w:pStyle w:val="Heading1"/>
      </w:pPr>
      <w:r>
        <w:t>运维、安全、备份与恢复</w:t>
      </w:r>
    </w:p>
    <w:p>
      <w:pPr>
        <w:pStyle w:val="Heading2"/>
      </w:pPr>
      <w:r>
        <w:t>1. 日常运维</w:t>
      </w:r>
    </w:p>
    <w:p>
      <w:r>
        <w:rPr>
          <w:i w:val="0"/>
        </w:rPr>
        <w:t>每日检查健康、连接器、死信、MPI 未决、临床暂存、磁盘、时间同步、证书期限和审计链；每周检查容量、慢接口、未知代码、重复率、失败趋势和权限变更；每月执行恢复演练或按院方制度执行。</w:t>
      </w:r>
    </w:p>
    <w:p>
      <w:pPr>
        <w:pStyle w:val="Heading2"/>
      </w:pPr>
      <w:r>
        <w:t>2. 日志与隐私</w:t>
      </w:r>
    </w:p>
    <w:p>
      <w:r>
        <w:rPr>
          <w:i w:val="0"/>
        </w:rPr>
        <w:t>默认日志只记录请求 ID、协议、连接器、状态、耗时和摘要，不记录完整患者载荷。调试 PHI 日志必须经过审批、限定时间、限定人员并在完成后安全删除。日志访问本身也应审计。</w:t>
      </w:r>
    </w:p>
    <w:p>
      <w:pPr>
        <w:pStyle w:val="Heading2"/>
      </w:pPr>
      <w:r>
        <w:t>3. 密钥与证书</w:t>
      </w:r>
    </w:p>
    <w:p>
      <w:pPr>
        <w:pStyle w:val="ListBullet"/>
      </w:pPr>
      <w:r>
        <w:rPr>
          <w:i w:val="0"/>
        </w:rPr>
        <w:t>不在 Git、镜像或配置模板中写真实秘密；</w:t>
      </w:r>
    </w:p>
    <w:p>
      <w:pPr>
        <w:pStyle w:val="ListBullet"/>
      </w:pPr>
      <w:r>
        <w:rPr>
          <w:i w:val="0"/>
        </w:rPr>
        <w:t>从环境、KMS/HSM 或院方密钥系统注入；</w:t>
      </w:r>
    </w:p>
    <w:p>
      <w:pPr>
        <w:pStyle w:val="ListBullet"/>
      </w:pPr>
      <w:r>
        <w:rPr>
          <w:i w:val="0"/>
        </w:rPr>
        <w:t>使用不同环境、不同连接器的独立凭据；</w:t>
      </w:r>
    </w:p>
    <w:p>
      <w:pPr>
        <w:pStyle w:val="ListBullet"/>
      </w:pPr>
      <w:r>
        <w:rPr>
          <w:i w:val="0"/>
        </w:rPr>
        <w:t>设轮换、吊销和到期告警；</w:t>
      </w:r>
    </w:p>
    <w:p>
      <w:pPr>
        <w:pStyle w:val="ListBullet"/>
      </w:pPr>
      <w:r>
        <w:rPr>
          <w:i w:val="0"/>
        </w:rPr>
        <w:t>私钥权限最小化；</w:t>
      </w:r>
    </w:p>
    <w:p>
      <w:pPr>
        <w:pStyle w:val="ListBullet"/>
      </w:pPr>
      <w:r>
        <w:rPr>
          <w:i w:val="0"/>
        </w:rPr>
        <w:t>演示 HMAC 不代替正式 CA/签名。</w:t>
      </w:r>
    </w:p>
    <w:p>
      <w:pPr>
        <w:pStyle w:val="Heading2"/>
      </w:pPr>
      <w:r>
        <w:t>4. 备份</w:t>
      </w:r>
    </w:p>
    <w:p>
      <w:r>
        <w:rPr>
          <w:rFonts w:ascii="DejaVu Sans Mono" w:hAnsi="DejaVu Sans Mono"/>
          <w:color w:val="37474F"/>
          <w:sz w:val="18"/>
        </w:rPr>
        <w:t>tools/backup.sh</w:t>
      </w:r>
      <w:r>
        <w:rPr>
          <w:i w:val="0"/>
        </w:rPr>
        <w:t xml:space="preserve"> 使用 SQLite 在线备份 API 复制数据库，再归档其他运行文件并生成 SHA-256。生产还需：异地/离线副本、加密、访问控制、保留策略、备份作业监控和定期恢复验证。</w:t>
      </w:r>
    </w:p>
    <w:p>
      <w:pPr>
        <w:pStyle w:val="Heading2"/>
      </w:pPr>
      <w:r>
        <w:t>5. 恢复</w:t>
      </w:r>
    </w:p>
    <w:p>
      <w:pPr>
        <w:pStyle w:val="ListNumber"/>
      </w:pPr>
      <w:r>
        <w:rPr>
          <w:i w:val="0"/>
        </w:rPr>
        <w:t>隔离故障节点并保全证据；</w:t>
      </w:r>
    </w:p>
    <w:p>
      <w:pPr>
        <w:pStyle w:val="ListNumber"/>
      </w:pPr>
      <w:r>
        <w:rPr>
          <w:i w:val="0"/>
        </w:rPr>
        <w:t>选择经过验证的备份；</w:t>
      </w:r>
    </w:p>
    <w:p>
      <w:pPr>
        <w:pStyle w:val="ListNumber"/>
      </w:pPr>
      <w:r>
        <w:rPr>
          <w:i w:val="0"/>
        </w:rPr>
        <w:t>恢复到空目录；</w:t>
      </w:r>
    </w:p>
    <w:p>
      <w:pPr>
        <w:pStyle w:val="ListNumber"/>
      </w:pPr>
      <w:r>
        <w:rPr>
          <w:i w:val="0"/>
        </w:rPr>
        <w:t>运行数据库完整性、审计链和配置检查；</w:t>
      </w:r>
    </w:p>
    <w:p>
      <w:pPr>
        <w:pStyle w:val="ListNumber"/>
      </w:pPr>
      <w:r>
        <w:rPr>
          <w:i w:val="0"/>
        </w:rPr>
        <w:t>在隔离环境回放关键测试；</w:t>
      </w:r>
    </w:p>
    <w:p>
      <w:pPr>
        <w:pStyle w:val="ListNumber"/>
      </w:pPr>
      <w:r>
        <w:rPr>
          <w:i w:val="0"/>
        </w:rPr>
        <w:t>先只读启动；</w:t>
      </w:r>
    </w:p>
    <w:p>
      <w:pPr>
        <w:pStyle w:val="ListNumber"/>
      </w:pPr>
      <w:r>
        <w:rPr>
          <w:i w:val="0"/>
        </w:rPr>
        <w:t>核对队列租约、死信、幂等和对方执行状态；</w:t>
      </w:r>
    </w:p>
    <w:p>
      <w:pPr>
        <w:pStyle w:val="ListNumber"/>
      </w:pPr>
      <w:r>
        <w:rPr>
          <w:i w:val="0"/>
        </w:rPr>
        <w:t>经批准恢复发送；</w:t>
      </w:r>
    </w:p>
    <w:p>
      <w:pPr>
        <w:pStyle w:val="ListNumber"/>
      </w:pPr>
      <w:r>
        <w:rPr>
          <w:i w:val="0"/>
        </w:rPr>
        <w:t>记录恢复事件和数据边界。</w:t>
      </w:r>
    </w:p>
    <w:p>
      <w:pPr>
        <w:pStyle w:val="Heading2"/>
      </w:pPr>
      <w:r>
        <w:t>6. 事件响应</w:t>
      </w:r>
    </w:p>
    <w:p>
      <w:pPr>
        <w:pStyle w:val="Heading3"/>
      </w:pPr>
      <w:r>
        <w:t>审计链失败</w:t>
      </w:r>
    </w:p>
    <w:p>
      <w:r>
        <w:rPr>
          <w:i w:val="0"/>
        </w:rPr>
        <w:t>立即停止高影响写回，保留数据库与日志副本，确认是否为损坏、并发、误操作或篡改，不允许通过删除历史修复。使用追加事件记录调查和恢复。</w:t>
      </w:r>
    </w:p>
    <w:p>
      <w:pPr>
        <w:pStyle w:val="Heading3"/>
      </w:pPr>
      <w:r>
        <w:t>患者误关联</w:t>
      </w:r>
    </w:p>
    <w:p>
      <w:r>
        <w:rPr>
          <w:i w:val="0"/>
        </w:rPr>
        <w:t>冻结受影响病例和出站任务，解除错误链接，评估已传播系统，通知相应责任团队，按院方制度更正并审计。</w:t>
      </w:r>
    </w:p>
    <w:p>
      <w:pPr>
        <w:pStyle w:val="Heading3"/>
      </w:pPr>
      <w:r>
        <w:t>重复医嘱/转诊风险</w:t>
      </w:r>
    </w:p>
    <w:p>
      <w:r>
        <w:rPr>
          <w:i w:val="0"/>
        </w:rPr>
        <w:t>暂停连接器，查询对方系统实际状态，禁止盲目重放，使用幂等键和业务单号核对，必要时人工关闭死信。</w:t>
      </w:r>
    </w:p>
    <w:p>
      <w:pPr>
        <w:pStyle w:val="Heading3"/>
      </w:pPr>
      <w:r>
        <w:t>凭据泄露</w:t>
      </w:r>
    </w:p>
    <w:p>
      <w:r>
        <w:rPr>
          <w:i w:val="0"/>
        </w:rPr>
        <w:t>立即吊销/轮换，检查使用记录，扩大日志审计，更新受影响配置并评估数据访问。</w:t>
      </w:r>
    </w:p>
    <w:p>
      <w:pPr>
        <w:pStyle w:val="Heading2"/>
      </w:pPr>
      <w:r>
        <w:t>7. 容量与性能</w:t>
      </w:r>
    </w:p>
    <w:p>
      <w:r>
        <w:rPr>
          <w:i w:val="0"/>
        </w:rPr>
        <w:t>观察数据库大小、队列深度、消息峰值、P95/P99 延迟、连接池/线程、文件交换积压、DICOM 元数据量和审计增长。超过单节点 SQLite 适用范围时，应迁移到院方批准的数据服务，而不是依靠共享文件多实例写入。</w:t>
      </w:r>
    </w:p>
    <w:p>
      <w:pPr>
        <w:pStyle w:val="Heading2"/>
      </w:pPr>
      <w:r>
        <w:t>8. 变更管理</w:t>
      </w:r>
    </w:p>
    <w:p>
      <w:r>
        <w:rPr>
          <w:i w:val="0"/>
        </w:rPr>
        <w:t>连接器、映射、角色、代码集、保留策略和临床桥接均属于受控变更。每次变更应有编号、责任人、风险、测试、批准、上线窗口和回滚方案。禁止在生产直接编辑后不留版本。</w:t>
      </w:r>
    </w:p>
    <w:p>
      <w:r>
        <w:br w:type="page"/>
      </w:r>
    </w:p>
    <w:p>
      <w:pPr>
        <w:pStyle w:val="Heading1"/>
      </w:pPr>
      <w:r>
        <w:t>数据字典与字段映射指南</w:t>
      </w:r>
    </w:p>
    <w:p>
      <w:pPr>
        <w:pStyle w:val="Heading2"/>
      </w:pPr>
      <w:r>
        <w:t>1. 规范信封</w:t>
      </w:r>
    </w:p>
    <w:p>
      <w:r>
        <w:rPr>
          <w:i w:val="0"/>
        </w:rPr>
        <w:t>每条消息建议包含：</w:t>
      </w:r>
      <w:r>
        <w:rPr>
          <w:rFonts w:ascii="DejaVu Sans Mono" w:hAnsi="DejaVu Sans Mono"/>
          <w:color w:val="37474F"/>
          <w:sz w:val="18"/>
        </w:rPr>
        <w:t>envelope_id</w:t>
      </w:r>
      <w:r>
        <w:rPr>
          <w:i w:val="0"/>
        </w:rPr>
        <w:t>、</w:t>
      </w:r>
      <w:r>
        <w:rPr>
          <w:rFonts w:ascii="DejaVu Sans Mono" w:hAnsi="DejaVu Sans Mono"/>
          <w:color w:val="37474F"/>
          <w:sz w:val="18"/>
        </w:rPr>
        <w:t>source_system</w:t>
      </w:r>
      <w:r>
        <w:rPr>
          <w:i w:val="0"/>
        </w:rPr>
        <w:t>、</w:t>
      </w:r>
      <w:r>
        <w:rPr>
          <w:rFonts w:ascii="DejaVu Sans Mono" w:hAnsi="DejaVu Sans Mono"/>
          <w:color w:val="37474F"/>
          <w:sz w:val="18"/>
        </w:rPr>
        <w:t>source_message_id</w:t>
      </w:r>
      <w:r>
        <w:rPr>
          <w:i w:val="0"/>
        </w:rPr>
        <w:t>、</w:t>
      </w:r>
      <w:r>
        <w:rPr>
          <w:rFonts w:ascii="DejaVu Sans Mono" w:hAnsi="DejaVu Sans Mono"/>
          <w:color w:val="37474F"/>
          <w:sz w:val="18"/>
        </w:rPr>
        <w:t>protocol</w:t>
      </w:r>
      <w:r>
        <w:rPr>
          <w:i w:val="0"/>
        </w:rPr>
        <w:t>、</w:t>
      </w:r>
      <w:r>
        <w:rPr>
          <w:rFonts w:ascii="DejaVu Sans Mono" w:hAnsi="DejaVu Sans Mono"/>
          <w:color w:val="37474F"/>
          <w:sz w:val="18"/>
        </w:rPr>
        <w:t>message_type</w:t>
      </w:r>
      <w:r>
        <w:rPr>
          <w:i w:val="0"/>
        </w:rPr>
        <w:t>、</w:t>
      </w:r>
      <w:r>
        <w:rPr>
          <w:rFonts w:ascii="DejaVu Sans Mono" w:hAnsi="DejaVu Sans Mono"/>
          <w:color w:val="37474F"/>
          <w:sz w:val="18"/>
        </w:rPr>
        <w:t>occurred_at</w:t>
      </w:r>
      <w:r>
        <w:rPr>
          <w:i w:val="0"/>
        </w:rPr>
        <w:t>、</w:t>
      </w:r>
      <w:r>
        <w:rPr>
          <w:rFonts w:ascii="DejaVu Sans Mono" w:hAnsi="DejaVu Sans Mono"/>
          <w:color w:val="37474F"/>
          <w:sz w:val="18"/>
        </w:rPr>
        <w:t>received_at</w:t>
      </w:r>
      <w:r>
        <w:rPr>
          <w:i w:val="0"/>
        </w:rPr>
        <w:t>、</w:t>
      </w:r>
      <w:r>
        <w:rPr>
          <w:rFonts w:ascii="DejaVu Sans Mono" w:hAnsi="DejaVu Sans Mono"/>
          <w:color w:val="37474F"/>
          <w:sz w:val="18"/>
        </w:rPr>
        <w:t>patient_resolution</w:t>
      </w:r>
      <w:r>
        <w:rPr>
          <w:i w:val="0"/>
        </w:rPr>
        <w:t>、</w:t>
      </w:r>
      <w:r>
        <w:rPr>
          <w:rFonts w:ascii="DejaVu Sans Mono" w:hAnsi="DejaVu Sans Mono"/>
          <w:color w:val="37474F"/>
          <w:sz w:val="18"/>
        </w:rPr>
        <w:t>resources</w:t>
      </w:r>
      <w:r>
        <w:rPr>
          <w:i w:val="0"/>
        </w:rPr>
        <w:t>、</w:t>
      </w:r>
      <w:r>
        <w:rPr>
          <w:rFonts w:ascii="DejaVu Sans Mono" w:hAnsi="DejaVu Sans Mono"/>
          <w:color w:val="37474F"/>
          <w:sz w:val="18"/>
        </w:rPr>
        <w:t>raw_digest</w:t>
      </w:r>
      <w:r>
        <w:rPr>
          <w:i w:val="0"/>
        </w:rPr>
        <w:t>、</w:t>
      </w:r>
      <w:r>
        <w:rPr>
          <w:rFonts w:ascii="DejaVu Sans Mono" w:hAnsi="DejaVu Sans Mono"/>
          <w:color w:val="37474F"/>
          <w:sz w:val="18"/>
        </w:rPr>
        <w:t>mapping_profile/version</w:t>
      </w:r>
      <w:r>
        <w:rPr>
          <w:i w:val="0"/>
        </w:rPr>
        <w:t>、</w:t>
      </w:r>
      <w:r>
        <w:rPr>
          <w:rFonts w:ascii="DejaVu Sans Mono" w:hAnsi="DejaVu Sans Mono"/>
          <w:color w:val="37474F"/>
          <w:sz w:val="18"/>
        </w:rPr>
        <w:t>semantic_passport</w:t>
      </w:r>
      <w:r>
        <w:rPr>
          <w:i w:val="0"/>
        </w:rPr>
        <w:t>、</w:t>
      </w:r>
      <w:r>
        <w:rPr>
          <w:rFonts w:ascii="DejaVu Sans Mono" w:hAnsi="DejaVu Sans Mono"/>
          <w:color w:val="37474F"/>
          <w:sz w:val="18"/>
        </w:rPr>
        <w:t>residuals</w:t>
      </w:r>
      <w:r>
        <w:rPr>
          <w:i w:val="0"/>
        </w:rPr>
        <w:t>、</w:t>
      </w:r>
      <w:r>
        <w:rPr>
          <w:rFonts w:ascii="DejaVu Sans Mono" w:hAnsi="DejaVu Sans Mono"/>
          <w:color w:val="37474F"/>
          <w:sz w:val="18"/>
        </w:rPr>
        <w:t>purpose</w:t>
      </w:r>
      <w:r>
        <w:rPr>
          <w:i w:val="0"/>
        </w:rPr>
        <w:t>、</w:t>
      </w:r>
      <w:r>
        <w:rPr>
          <w:rFonts w:ascii="DejaVu Sans Mono" w:hAnsi="DejaVu Sans Mono"/>
          <w:color w:val="37474F"/>
          <w:sz w:val="18"/>
        </w:rPr>
        <w:t>status</w:t>
      </w:r>
      <w:r>
        <w:rPr>
          <w:i w:val="0"/>
        </w:rPr>
        <w:t>。</w:t>
      </w:r>
    </w:p>
    <w:p>
      <w:pPr>
        <w:pStyle w:val="Heading2"/>
      </w:pPr>
      <w:r>
        <w:t>2. 核心标识</w:t>
      </w:r>
    </w:p>
    <w:p>
      <w:pPr>
        <w:pStyle w:val="ListBullet"/>
      </w:pPr>
      <w:r>
        <w:rPr>
          <w:i w:val="0"/>
        </w:rPr>
        <w:t>患者标识：值 + 分配机构/域 + 类型 + 生效状态；</w:t>
      </w:r>
    </w:p>
    <w:p>
      <w:pPr>
        <w:pStyle w:val="ListBullet"/>
      </w:pPr>
      <w:r>
        <w:rPr>
          <w:i w:val="0"/>
        </w:rPr>
        <w:t>就诊标识：就诊号 + 患者引用 + 机构 + 时间；</w:t>
      </w:r>
    </w:p>
    <w:p>
      <w:pPr>
        <w:pStyle w:val="ListBullet"/>
      </w:pPr>
      <w:r>
        <w:rPr>
          <w:i w:val="0"/>
        </w:rPr>
        <w:t>申请/报告：申请号、报告号、版本、状态；</w:t>
      </w:r>
    </w:p>
    <w:p>
      <w:pPr>
        <w:pStyle w:val="ListBullet"/>
      </w:pPr>
      <w:r>
        <w:rPr>
          <w:i w:val="0"/>
        </w:rPr>
        <w:t>消息：发送方、设施、控制号/事件 ID；</w:t>
      </w:r>
    </w:p>
    <w:p>
      <w:pPr>
        <w:pStyle w:val="ListBullet"/>
      </w:pPr>
      <w:r>
        <w:rPr>
          <w:i w:val="0"/>
        </w:rPr>
        <w:t>资源：资源类型、ID、版本、业务标识；</w:t>
      </w:r>
    </w:p>
    <w:p>
      <w:pPr>
        <w:pStyle w:val="ListBullet"/>
      </w:pPr>
      <w:r>
        <w:rPr>
          <w:i w:val="0"/>
        </w:rPr>
        <w:t>审计：请求 ID、主体、动作、对象和前后摘要。</w:t>
      </w:r>
    </w:p>
    <w:p>
      <w:r>
        <w:rPr>
          <w:i w:val="0"/>
        </w:rPr>
        <w:t>只有“值”没有“域”的患者号不能安全跨系统使用。</w:t>
      </w:r>
    </w:p>
    <w:p>
      <w:pPr>
        <w:pStyle w:val="Heading2"/>
      </w:pPr>
      <w:r>
        <w:t>3. 时间</w:t>
      </w:r>
    </w:p>
    <w:p>
      <w:r>
        <w:rPr>
          <w:i w:val="0"/>
        </w:rPr>
        <w:t>保存原始时间、解析后的带时区时间、来源时区和精度。不要把仅有日期的出生日期伪造成精确时间，也不要静默把本地时间当 UTC。</w:t>
      </w:r>
    </w:p>
    <w:p>
      <w:pPr>
        <w:pStyle w:val="Heading2"/>
      </w:pPr>
      <w:r>
        <w:t>4. 代码和单位</w:t>
      </w:r>
    </w:p>
    <w:p>
      <w:r>
        <w:rPr>
          <w:i w:val="0"/>
        </w:rPr>
        <w:t>每个代码保存系统、代码、显示、版本和原始值。未知本地码进入残差/待映射，不映射为“最接近”的标准码。数值结果同时保存值、单位、参考范围和异常标志。</w:t>
      </w:r>
    </w:p>
    <w:p>
      <w:pPr>
        <w:pStyle w:val="Heading2"/>
      </w:pPr>
      <w:r>
        <w:t>5. 空值和否定</w:t>
      </w:r>
    </w:p>
    <w:p>
      <w:r>
        <w:rPr>
          <w:i w:val="0"/>
        </w:rPr>
        <w:t>区分未提供、未知、不适用、明确无、被拒绝、被删除和解析失败。不能用空字符串压缩所有情况。</w:t>
      </w:r>
    </w:p>
    <w:p>
      <w:pPr>
        <w:pStyle w:val="Heading2"/>
      </w:pPr>
      <w:r>
        <w:t>6. 映射版本</w:t>
      </w:r>
    </w:p>
    <w:p>
      <w:r>
        <w:rPr>
          <w:i w:val="0"/>
        </w:rPr>
        <w:t>映射文件应使用语义版本或院方版本号。每条转换保存所用版本。版本升级后不要重写历史转换；需要重处理时生成新的转换记录并关联来源。</w:t>
      </w:r>
    </w:p>
    <w:p>
      <w:pPr>
        <w:pStyle w:val="Heading2"/>
      </w:pPr>
      <w:r>
        <w:t>7. 往返与残差</w:t>
      </w:r>
    </w:p>
    <w:p>
      <w:r>
        <w:rPr>
          <w:i w:val="0"/>
        </w:rPr>
        <w:t>往返测试不是要求两个系统完全相同，而是确认声明保持的字段可返回，声明不同的字段和不可表达信息可见。丢失字段、单位变化、代码降级、顺序变化和文本截断均应成为残差。</w:t>
      </w:r>
    </w:p>
    <w:p>
      <w:pPr>
        <w:pStyle w:val="Heading2"/>
      </w:pPr>
      <w:r>
        <w:t>8. 脱敏</w:t>
      </w:r>
    </w:p>
    <w:p>
      <w:r>
        <w:rPr>
          <w:i w:val="0"/>
        </w:rPr>
        <w:t>界面和日志默认掩码姓名、证件、电话和地址。测试集优先使用合成数据。科研导出应按批准方案去标识，并评估小样本、罕见病、时间轨迹和自由文本的重识别风险。</w:t>
      </w:r>
    </w:p>
    <w:p>
      <w:r>
        <w:br w:type="page"/>
      </w:r>
    </w:p>
    <w:p>
      <w:pPr>
        <w:pStyle w:val="Heading1"/>
      </w:pPr>
      <w:r>
        <w:t>故障排查</w:t>
      </w:r>
    </w:p>
    <w:p>
      <w:pPr>
        <w:pStyle w:val="Heading2"/>
      </w:pPr>
      <w:r>
        <w:t>1. 服务无法启动</w:t>
      </w:r>
    </w:p>
    <w:p>
      <w:r>
        <w:rPr>
          <w:i w:val="0"/>
        </w:rPr>
        <w:t xml:space="preserve">检查 Python 版本、配置 JSON、目录权限、端口占用、数据库可写、环境变量和秘密。先执行 </w:t>
      </w:r>
      <w:r>
        <w:rPr>
          <w:rFonts w:ascii="DejaVu Sans Mono" w:hAnsi="DejaVu Sans Mono"/>
          <w:color w:val="37474F"/>
          <w:sz w:val="18"/>
        </w:rPr>
        <w:t>python run_mesh81.py config-check</w:t>
      </w:r>
      <w:r>
        <w:rPr>
          <w:i w:val="0"/>
        </w:rPr>
        <w:t>，再查看结构化错误。不要通过关闭安全检查解决配置错误。</w:t>
      </w:r>
    </w:p>
    <w:p>
      <w:pPr>
        <w:pStyle w:val="Heading2"/>
      </w:pPr>
      <w:r>
        <w:t>2. 401/403</w:t>
      </w:r>
    </w:p>
    <w:p>
      <w:r>
        <w:rPr>
          <w:i w:val="0"/>
        </w:rPr>
        <w:t>确认请求来自受信代理或使用正确签名令牌，角色映射存在，时间同步正常，令牌未过期。生产环境不得临时启用演示令牌绕过身份问题。</w:t>
      </w:r>
    </w:p>
    <w:p>
      <w:pPr>
        <w:pStyle w:val="Heading2"/>
      </w:pPr>
      <w:r>
        <w:t>3. HL7 无 ACK</w:t>
      </w:r>
    </w:p>
    <w:p>
      <w:r>
        <w:rPr>
          <w:i w:val="0"/>
        </w:rPr>
        <w:t>检查 MLLP 起止符、端口、防火墙、字符集、MSH 字段、发送应用白名单和消息大小。抓包需遵循隐私规定。</w:t>
      </w:r>
    </w:p>
    <w:p>
      <w:pPr>
        <w:pStyle w:val="Heading2"/>
      </w:pPr>
      <w:r>
        <w:t>4. FHIR 422/OperationOutcome</w:t>
      </w:r>
    </w:p>
    <w:p>
      <w:r>
        <w:rPr>
          <w:i w:val="0"/>
        </w:rPr>
        <w:t>检查 resourceType、标识、引用、时间、状态、Bundle 请求字段和允许资源。查看错误位置和映射残差，不要删除未知字段后无记录重试。</w:t>
      </w:r>
    </w:p>
    <w:p>
      <w:pPr>
        <w:pStyle w:val="Heading2"/>
      </w:pPr>
      <w:r>
        <w:t>5. MPI 一直未决</w:t>
      </w:r>
    </w:p>
    <w:p>
      <w:r>
        <w:rPr>
          <w:i w:val="0"/>
        </w:rPr>
        <w:t>说明缺少权威标识或存在冲突。联系患者主数据团队补充信息，由授权人员链接/拒绝。禁止降低阈值自动合并来减少队列。</w:t>
      </w:r>
    </w:p>
    <w:p>
      <w:pPr>
        <w:pStyle w:val="Heading2"/>
      </w:pPr>
      <w:r>
        <w:t>6. 出站持续重试</w:t>
      </w:r>
    </w:p>
    <w:p>
      <w:r>
        <w:rPr>
          <w:i w:val="0"/>
        </w:rPr>
        <w:t>检查对方健康、DNS、证书、认证、限流、超时和载荷。确认对方是否已执行。可重试与不可重试错误必须区分。</w:t>
      </w:r>
    </w:p>
    <w:p>
      <w:pPr>
        <w:pStyle w:val="Heading2"/>
      </w:pPr>
      <w:r>
        <w:t>7. 死信堆积</w:t>
      </w:r>
    </w:p>
    <w:p>
      <w:r>
        <w:rPr>
          <w:i w:val="0"/>
        </w:rPr>
        <w:t>按连接器和错误类型分组，先停止扩大影响，处理根因，再批量重放。高影响业务逐条核对。设置处理时限和负责人。</w:t>
      </w:r>
    </w:p>
    <w:p>
      <w:pPr>
        <w:pStyle w:val="Heading2"/>
      </w:pPr>
      <w:r>
        <w:t>8. 审计链失败</w:t>
      </w:r>
    </w:p>
    <w:p>
      <w:r>
        <w:rPr>
          <w:i w:val="0"/>
        </w:rPr>
        <w:t>停止写回，备份现状，运行独立验证，检查磁盘、数据库损坏、非法修改和版本兼容。不得删除失败事件或重建一条看似有效的新历史。</w:t>
      </w:r>
    </w:p>
    <w:p>
      <w:pPr>
        <w:pStyle w:val="Heading2"/>
      </w:pPr>
      <w:r>
        <w:t>9. 临床工作台与网关不一致</w:t>
      </w:r>
    </w:p>
    <w:p>
      <w:r>
        <w:rPr>
          <w:i w:val="0"/>
        </w:rPr>
        <w:t>核对暂存状态、批准记录、核心 revision/If-Match、患者和就诊标识。冲突时保留双方版本并人工解决，不能最后写入者覆盖。</w:t>
      </w:r>
    </w:p>
    <w:p>
      <w:pPr>
        <w:pStyle w:val="Heading2"/>
      </w:pPr>
      <w:r>
        <w:t>10. 性能下降</w:t>
      </w:r>
    </w:p>
    <w:p>
      <w:r>
        <w:rPr>
          <w:i w:val="0"/>
        </w:rPr>
        <w:t>查看队列深度、慢连接器、数据库锁、磁盘、审计增长、DICOM 查询范围和大文件。限制查询、分批处理、增加索引或迁移存储；不得关闭审计换取性能。</w:t>
      </w:r>
    </w:p>
    <w:p>
      <w:r>
        <w:br w:type="page"/>
      </w:r>
    </w:p>
    <w:p>
      <w:pPr>
        <w:pStyle w:val="Heading1"/>
      </w:pPr>
      <w:r>
        <w:t>角色权限矩阵参考</w:t>
      </w:r>
    </w:p>
    <w:p>
      <w:r>
        <w:rPr>
          <w:i w:val="0"/>
        </w:rPr>
        <w:t>下表是技术参考，最终以医院 IAM/RBAC 审批为准。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381"/>
            <w:vAlign w:val="center"/>
            <w:shd w:fill="2D5F8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381"/>
            <w:vAlign w:val="center"/>
            <w:shd w:fill="2D5F8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主要读取</w:t>
            </w:r>
          </w:p>
        </w:tc>
        <w:tc>
          <w:tcPr>
            <w:tcW w:type="dxa" w:w="2381"/>
            <w:vAlign w:val="center"/>
            <w:shd w:fill="2D5F8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主要写入</w:t>
            </w:r>
          </w:p>
        </w:tc>
        <w:tc>
          <w:tcPr>
            <w:tcW w:type="dxa" w:w="2381"/>
            <w:vAlign w:val="center"/>
            <w:shd w:fill="2D5F8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明确禁止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system_admin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配置、健康、审计、用户映射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系统配置、连接器启停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以管理员身份形成临床结论</w:t>
            </w:r>
          </w:p>
        </w:tc>
      </w:tr>
      <w:tr>
        <w:tc>
          <w:tcPr>
            <w:tcW w:type="dxa" w:w="2381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integration_admin</w:t>
            </w:r>
          </w:p>
        </w:tc>
        <w:tc>
          <w:tcPr>
            <w:tcW w:type="dxa" w:w="2381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消息、队列、映射、连接器</w:t>
            </w:r>
          </w:p>
        </w:tc>
        <w:tc>
          <w:tcPr>
            <w:tcW w:type="dxa" w:w="2381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重试、死信、技术暂存</w:t>
            </w:r>
          </w:p>
        </w:tc>
        <w:tc>
          <w:tcPr>
            <w:tcW w:type="dxa" w:w="2381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直接批准诊断/处方/医嘱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mpi_steward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掩码患者标识、候选证据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链接、拒绝、解除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查看无关临床详情</w:t>
            </w:r>
          </w:p>
        </w:tc>
      </w:tr>
      <w:tr>
        <w:tc>
          <w:tcPr>
            <w:tcW w:type="dxa" w:w="2381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tcm_clinician</w:t>
            </w:r>
          </w:p>
        </w:tc>
        <w:tc>
          <w:tcPr>
            <w:tcW w:type="dxa" w:w="2381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职责范围病例与来源</w:t>
            </w:r>
          </w:p>
        </w:tc>
        <w:tc>
          <w:tcPr>
            <w:tcW w:type="dxa" w:w="2381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临床观察、路径、方案、暂存批准</w:t>
            </w:r>
          </w:p>
        </w:tc>
        <w:tc>
          <w:tcPr>
            <w:tcW w:type="dxa" w:w="2381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修改接口审计、绕过签名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nurse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护理/随访范围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观察、任务、打卡、职责内批准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临床限定诊断/处方</w:t>
            </w:r>
          </w:p>
        </w:tc>
      </w:tr>
      <w:tr>
        <w:tc>
          <w:tcPr>
            <w:tcW w:type="dxa" w:w="2381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rehab</w:t>
            </w:r>
          </w:p>
        </w:tc>
        <w:tc>
          <w:tcPr>
            <w:tcW w:type="dxa" w:w="2381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康复范围</w:t>
            </w:r>
          </w:p>
        </w:tc>
        <w:tc>
          <w:tcPr>
            <w:tcW w:type="dxa" w:w="2381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目标、任务、随访</w:t>
            </w:r>
          </w:p>
        </w:tc>
        <w:tc>
          <w:tcPr>
            <w:tcW w:type="dxa" w:w="2381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药物/诊断写入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quality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病例、来源、审计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复核意见、事件标记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代替临床人员签署</w:t>
            </w:r>
          </w:p>
        </w:tc>
      </w:tr>
      <w:tr>
        <w:tc>
          <w:tcPr>
            <w:tcW w:type="dxa" w:w="2381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research</w:t>
            </w:r>
          </w:p>
        </w:tc>
        <w:tc>
          <w:tcPr>
            <w:tcW w:type="dxa" w:w="2381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经批准去标识数据</w:t>
            </w:r>
          </w:p>
        </w:tc>
        <w:tc>
          <w:tcPr>
            <w:tcW w:type="dxa" w:w="2381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无或受控标注</w:t>
            </w:r>
          </w:p>
        </w:tc>
        <w:tc>
          <w:tcPr>
            <w:tcW w:type="dxa" w:w="2381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身份、原始审计、生产写回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security_auditor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安全/审计元数据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审计核验与事件记录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临床内容修改</w:t>
            </w:r>
          </w:p>
        </w:tc>
      </w:tr>
      <w:tr>
        <w:tc>
          <w:tcPr>
            <w:tcW w:type="dxa" w:w="2381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patient_proxy</w:t>
            </w:r>
          </w:p>
        </w:tc>
        <w:tc>
          <w:tcPr>
            <w:tcW w:type="dxa" w:w="2381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患者可见信息</w:t>
            </w:r>
          </w:p>
        </w:tc>
        <w:tc>
          <w:tcPr>
            <w:tcW w:type="dxa" w:w="2381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意图、患者可填观察、打卡</w:t>
            </w:r>
          </w:p>
        </w:tc>
        <w:tc>
          <w:tcPr>
            <w:tcW w:type="dxa" w:w="2381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接口、他人病例、高影响批准</w:t>
            </w:r>
          </w:p>
        </w:tc>
      </w:tr>
    </w:tbl>
    <w:p/>
    <w:p>
      <w:r>
        <w:rPr>
          <w:i w:val="0"/>
        </w:rPr>
        <w:t>建议采用职责分离：连接器配置者不能单独批准高影响临床写回；MPI 链接与临床批准分离；电子签名由外部权威平台验证。</w:t>
      </w:r>
    </w:p>
    <w:p>
      <w:r>
        <w:br w:type="page"/>
      </w:r>
    </w:p>
    <w:p>
      <w:pPr>
        <w:pStyle w:val="Heading1"/>
      </w:pPr>
      <w:r>
        <w:t>测试验收与上线清单</w:t>
      </w:r>
    </w:p>
    <w:p>
      <w:pPr>
        <w:pStyle w:val="Heading2"/>
      </w:pPr>
      <w:r>
        <w:t>1. 验收层级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3175"/>
            <w:vAlign w:val="center"/>
            <w:shd w:fill="2D5F8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175"/>
            <w:vAlign w:val="center"/>
            <w:shd w:fill="2D5F8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验证内容</w:t>
            </w:r>
          </w:p>
        </w:tc>
        <w:tc>
          <w:tcPr>
            <w:tcW w:type="dxa" w:w="3175"/>
            <w:vAlign w:val="center"/>
            <w:shd w:fill="2D5F8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不能替代</w:t>
            </w:r>
          </w:p>
        </w:tc>
      </w:tr>
      <w:tr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单元/静态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解析、映射、权限、审计、边界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真实厂商互操作</w:t>
            </w:r>
          </w:p>
        </w:tc>
      </w:tr>
      <w:tr>
        <w:tc>
          <w:tcPr>
            <w:tcW w:type="dxa" w:w="3175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合成端到端</w:t>
            </w:r>
          </w:p>
        </w:tc>
        <w:tc>
          <w:tcPr>
            <w:tcW w:type="dxa" w:w="3175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API、队列、MPI、暂存、恢复</w:t>
            </w:r>
          </w:p>
        </w:tc>
        <w:tc>
          <w:tcPr>
            <w:tcW w:type="dxa" w:w="3175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真实患者/临床验证</w:t>
            </w:r>
          </w:p>
        </w:tc>
      </w:tr>
      <w:tr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SIT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医院测试环境接口与故障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业务接受</w:t>
            </w:r>
          </w:p>
        </w:tc>
      </w:tr>
      <w:tr>
        <w:tc>
          <w:tcPr>
            <w:tcW w:type="dxa" w:w="3175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UAT</w:t>
            </w:r>
          </w:p>
        </w:tc>
        <w:tc>
          <w:tcPr>
            <w:tcW w:type="dxa" w:w="3175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医护/运维流程和人因</w:t>
            </w:r>
          </w:p>
        </w:tc>
        <w:tc>
          <w:tcPr>
            <w:tcW w:type="dxa" w:w="3175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监管/临床试验</w:t>
            </w:r>
          </w:p>
        </w:tc>
      </w:tr>
      <w:tr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安全测试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配置、身份、传输、漏洞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持续安全运营</w:t>
            </w:r>
          </w:p>
        </w:tc>
      </w:tr>
      <w:tr>
        <w:tc>
          <w:tcPr>
            <w:tcW w:type="dxa" w:w="3175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试运行</w:t>
            </w:r>
          </w:p>
        </w:tc>
        <w:tc>
          <w:tcPr>
            <w:tcW w:type="dxa" w:w="3175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限定范围真实运行</w:t>
            </w:r>
          </w:p>
        </w:tc>
        <w:tc>
          <w:tcPr>
            <w:tcW w:type="dxa" w:w="3175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全院上线结论</w:t>
            </w:r>
          </w:p>
        </w:tc>
      </w:tr>
    </w:tbl>
    <w:p/>
    <w:p>
      <w:pPr>
        <w:pStyle w:val="Heading2"/>
      </w:pPr>
      <w:r>
        <w:t>2. 必测协议用例</w:t>
      </w:r>
    </w:p>
    <w:p>
      <w:pPr>
        <w:pStyle w:val="Heading3"/>
      </w:pPr>
      <w:r>
        <w:t>FHIR</w:t>
      </w:r>
    </w:p>
    <w:p>
      <w:pPr>
        <w:pStyle w:val="ListBullet"/>
      </w:pPr>
      <w:r>
        <w:rPr>
          <w:i w:val="0"/>
        </w:rPr>
        <w:t>CapabilityStatement；</w:t>
      </w:r>
    </w:p>
    <w:p>
      <w:pPr>
        <w:pStyle w:val="ListBullet"/>
      </w:pPr>
      <w:r>
        <w:rPr>
          <w:i w:val="0"/>
        </w:rPr>
        <w:t>单资源创建/更新/查询；</w:t>
      </w:r>
    </w:p>
    <w:p>
      <w:pPr>
        <w:pStyle w:val="ListBullet"/>
      </w:pPr>
      <w:r>
        <w:rPr>
          <w:i w:val="0"/>
        </w:rPr>
        <w:t>Batch/transaction Bundle；</w:t>
      </w:r>
    </w:p>
    <w:p>
      <w:pPr>
        <w:pStyle w:val="ListBullet"/>
      </w:pPr>
      <w:r>
        <w:rPr>
          <w:i w:val="0"/>
        </w:rPr>
        <w:t>条件/业务标识；</w:t>
      </w:r>
    </w:p>
    <w:p>
      <w:pPr>
        <w:pStyle w:val="ListBullet"/>
      </w:pPr>
      <w:r>
        <w:rPr>
          <w:i w:val="0"/>
        </w:rPr>
        <w:t>缺失必填、未知资源、超大载荷；</w:t>
      </w:r>
    </w:p>
    <w:p>
      <w:pPr>
        <w:pStyle w:val="ListBullet"/>
      </w:pPr>
      <w:r>
        <w:rPr>
          <w:i w:val="0"/>
        </w:rPr>
        <w:t>重复、版本冲突、未授权；</w:t>
      </w:r>
    </w:p>
    <w:p>
      <w:pPr>
        <w:pStyle w:val="ListBullet"/>
      </w:pPr>
      <w:r>
        <w:rPr>
          <w:i w:val="0"/>
        </w:rPr>
        <w:t>OperationOutcome/错误结构。</w:t>
      </w:r>
    </w:p>
    <w:p>
      <w:pPr>
        <w:pStyle w:val="Heading3"/>
      </w:pPr>
      <w:r>
        <w:t>HL7 v2</w:t>
      </w:r>
    </w:p>
    <w:p>
      <w:pPr>
        <w:pStyle w:val="ListBullet"/>
      </w:pPr>
      <w:r>
        <w:rPr>
          <w:i w:val="0"/>
        </w:rPr>
        <w:t>ADT A01/A03/A08；</w:t>
      </w:r>
    </w:p>
    <w:p>
      <w:pPr>
        <w:pStyle w:val="ListBullet"/>
      </w:pPr>
      <w:r>
        <w:rPr>
          <w:i w:val="0"/>
        </w:rPr>
        <w:t>ORU 最终/更正/撤销；</w:t>
      </w:r>
    </w:p>
    <w:p>
      <w:pPr>
        <w:pStyle w:val="ListBullet"/>
      </w:pPr>
      <w:r>
        <w:rPr>
          <w:i w:val="0"/>
        </w:rPr>
        <w:t>ORM/OML、SIU、MDM；</w:t>
      </w:r>
    </w:p>
    <w:p>
      <w:pPr>
        <w:pStyle w:val="ListBullet"/>
      </w:pPr>
      <w:r>
        <w:rPr>
          <w:i w:val="0"/>
        </w:rPr>
        <w:t>ACK AA/AE/AR；</w:t>
      </w:r>
    </w:p>
    <w:p>
      <w:pPr>
        <w:pStyle w:val="ListBullet"/>
      </w:pPr>
      <w:r>
        <w:rPr>
          <w:i w:val="0"/>
        </w:rPr>
        <w:t>重复控制号、乱序、字符集、转义、多 OBX；</w:t>
      </w:r>
    </w:p>
    <w:p>
      <w:pPr>
        <w:pStyle w:val="ListBullet"/>
      </w:pPr>
      <w:r>
        <w:rPr>
          <w:i w:val="0"/>
        </w:rPr>
        <w:t>无 PID、错误版本、超长消息、非允许发送应用。</w:t>
      </w:r>
    </w:p>
    <w:p>
      <w:pPr>
        <w:pStyle w:val="Heading3"/>
      </w:pPr>
      <w:r>
        <w:t>CDA</w:t>
      </w:r>
    </w:p>
    <w:p>
      <w:pPr>
        <w:pStyle w:val="ListBullet"/>
      </w:pPr>
      <w:r>
        <w:rPr>
          <w:i w:val="0"/>
        </w:rPr>
        <w:t>正常文档；</w:t>
      </w:r>
    </w:p>
    <w:p>
      <w:pPr>
        <w:pStyle w:val="ListBullet"/>
      </w:pPr>
      <w:r>
        <w:rPr>
          <w:i w:val="0"/>
        </w:rPr>
        <w:t>缺患者/作者/时间；</w:t>
      </w:r>
    </w:p>
    <w:p>
      <w:pPr>
        <w:pStyle w:val="ListBullet"/>
      </w:pPr>
      <w:r>
        <w:rPr>
          <w:i w:val="0"/>
        </w:rPr>
        <w:t>未知章节；</w:t>
      </w:r>
    </w:p>
    <w:p>
      <w:pPr>
        <w:pStyle w:val="ListBullet"/>
      </w:pPr>
      <w:r>
        <w:rPr>
          <w:i w:val="0"/>
        </w:rPr>
        <w:t>外部实体/DOCTYPE 攻击；</w:t>
      </w:r>
    </w:p>
    <w:p>
      <w:pPr>
        <w:pStyle w:val="ListBullet"/>
      </w:pPr>
      <w:r>
        <w:rPr>
          <w:i w:val="0"/>
        </w:rPr>
        <w:t>文档摘要与签名状态。</w:t>
      </w:r>
    </w:p>
    <w:p>
      <w:pPr>
        <w:pStyle w:val="Heading3"/>
      </w:pPr>
      <w:r>
        <w:t>DICOMweb</w:t>
      </w:r>
    </w:p>
    <w:p>
      <w:pPr>
        <w:pStyle w:val="ListBullet"/>
      </w:pPr>
      <w:r>
        <w:rPr>
          <w:i w:val="0"/>
        </w:rPr>
        <w:t>QIDO 条件查询；</w:t>
      </w:r>
    </w:p>
    <w:p>
      <w:pPr>
        <w:pStyle w:val="ListBullet"/>
      </w:pPr>
      <w:r>
        <w:rPr>
          <w:i w:val="0"/>
        </w:rPr>
        <w:t>WADO 元数据/实例权限；</w:t>
      </w:r>
    </w:p>
    <w:p>
      <w:pPr>
        <w:pStyle w:val="ListBullet"/>
      </w:pPr>
      <w:r>
        <w:rPr>
          <w:i w:val="0"/>
        </w:rPr>
        <w:t>无权患者/研究；</w:t>
      </w:r>
    </w:p>
    <w:p>
      <w:pPr>
        <w:pStyle w:val="ListBullet"/>
      </w:pPr>
      <w:r>
        <w:rPr>
          <w:i w:val="0"/>
        </w:rPr>
        <w:t>超大对象；</w:t>
      </w:r>
    </w:p>
    <w:p>
      <w:pPr>
        <w:pStyle w:val="ListBullet"/>
      </w:pPr>
      <w:r>
        <w:rPr>
          <w:i w:val="0"/>
        </w:rPr>
        <w:t>STOW 默认拒绝及审批后测试。</w:t>
      </w:r>
    </w:p>
    <w:p>
      <w:pPr>
        <w:pStyle w:val="Heading2"/>
      </w:pPr>
      <w:r>
        <w:t>3. 可靠性用例</w:t>
      </w:r>
    </w:p>
    <w:p>
      <w:pPr>
        <w:pStyle w:val="ListBullet"/>
      </w:pPr>
      <w:r>
        <w:rPr>
          <w:i w:val="0"/>
        </w:rPr>
        <w:t>同一消息重复 10 次只形成一次业务动作；</w:t>
      </w:r>
    </w:p>
    <w:p>
      <w:pPr>
        <w:pStyle w:val="ListBullet"/>
      </w:pPr>
      <w:r>
        <w:rPr>
          <w:i w:val="0"/>
        </w:rPr>
        <w:t>对方 5xx/超时进入指数退避；</w:t>
      </w:r>
    </w:p>
    <w:p>
      <w:pPr>
        <w:pStyle w:val="ListBullet"/>
      </w:pPr>
      <w:r>
        <w:rPr>
          <w:i w:val="0"/>
        </w:rPr>
        <w:t>达到上限进入死信；</w:t>
      </w:r>
    </w:p>
    <w:p>
      <w:pPr>
        <w:pStyle w:val="ListBullet"/>
      </w:pPr>
      <w:r>
        <w:rPr>
          <w:i w:val="0"/>
        </w:rPr>
        <w:t>修复后重放保留原始审计；</w:t>
      </w:r>
    </w:p>
    <w:p>
      <w:pPr>
        <w:pStyle w:val="ListBullet"/>
      </w:pPr>
      <w:r>
        <w:rPr>
          <w:i w:val="0"/>
        </w:rPr>
        <w:t>进程中断后租约过期可恢复；</w:t>
      </w:r>
    </w:p>
    <w:p>
      <w:pPr>
        <w:pStyle w:val="ListBullet"/>
      </w:pPr>
      <w:r>
        <w:rPr>
          <w:i w:val="0"/>
        </w:rPr>
        <w:t>对方已执行但响应丢失时不盲目重复；</w:t>
      </w:r>
    </w:p>
    <w:p>
      <w:pPr>
        <w:pStyle w:val="ListBullet"/>
      </w:pPr>
      <w:r>
        <w:rPr>
          <w:i w:val="0"/>
        </w:rPr>
        <w:t>队列恢复不破坏顺序要求。</w:t>
      </w:r>
    </w:p>
    <w:p>
      <w:pPr>
        <w:pStyle w:val="Heading2"/>
      </w:pPr>
      <w:r>
        <w:t>4. MPI 用例</w:t>
      </w:r>
    </w:p>
    <w:p>
      <w:pPr>
        <w:pStyle w:val="ListBullet"/>
      </w:pPr>
      <w:r>
        <w:rPr>
          <w:i w:val="0"/>
        </w:rPr>
        <w:t>权威患者号精确命中；</w:t>
      </w:r>
    </w:p>
    <w:p>
      <w:pPr>
        <w:pStyle w:val="ListBullet"/>
      </w:pPr>
      <w:r>
        <w:rPr>
          <w:i w:val="0"/>
        </w:rPr>
        <w:t>同名不同生日不合并；</w:t>
      </w:r>
    </w:p>
    <w:p>
      <w:pPr>
        <w:pStyle w:val="ListBullet"/>
      </w:pPr>
      <w:r>
        <w:rPr>
          <w:i w:val="0"/>
        </w:rPr>
        <w:t>同电话不同患者进入候选；</w:t>
      </w:r>
    </w:p>
    <w:p>
      <w:pPr>
        <w:pStyle w:val="ListBullet"/>
      </w:pPr>
      <w:r>
        <w:rPr>
          <w:i w:val="0"/>
        </w:rPr>
        <w:t>多院区标识域；</w:t>
      </w:r>
    </w:p>
    <w:p>
      <w:pPr>
        <w:pStyle w:val="ListBullet"/>
      </w:pPr>
      <w:r>
        <w:rPr>
          <w:i w:val="0"/>
        </w:rPr>
        <w:t>标识更改/作废；</w:t>
      </w:r>
    </w:p>
    <w:p>
      <w:pPr>
        <w:pStyle w:val="ListBullet"/>
      </w:pPr>
      <w:r>
        <w:rPr>
          <w:i w:val="0"/>
        </w:rPr>
        <w:t>人工链接、拒绝、解除；</w:t>
      </w:r>
    </w:p>
    <w:p>
      <w:pPr>
        <w:pStyle w:val="ListBullet"/>
      </w:pPr>
      <w:r>
        <w:rPr>
          <w:i w:val="0"/>
        </w:rPr>
        <w:t>错误链接影响评估；</w:t>
      </w:r>
    </w:p>
    <w:p>
      <w:pPr>
        <w:pStyle w:val="ListBullet"/>
      </w:pPr>
      <w:r>
        <w:rPr>
          <w:i w:val="0"/>
        </w:rPr>
        <w:t>页面和日志掩码。</w:t>
      </w:r>
    </w:p>
    <w:p>
      <w:pPr>
        <w:pStyle w:val="Heading2"/>
      </w:pPr>
      <w:r>
        <w:t>5. 权限与安全用例</w:t>
      </w:r>
    </w:p>
    <w:p>
      <w:pPr>
        <w:pStyle w:val="ListBullet"/>
      </w:pPr>
      <w:r>
        <w:rPr>
          <w:i w:val="0"/>
        </w:rPr>
        <w:t>直接伪造可信代理头被拒绝；</w:t>
      </w:r>
    </w:p>
    <w:p>
      <w:pPr>
        <w:pStyle w:val="ListBullet"/>
      </w:pPr>
      <w:r>
        <w:rPr>
          <w:i w:val="0"/>
        </w:rPr>
        <w:t>过期/篡改令牌被拒绝；</w:t>
      </w:r>
    </w:p>
    <w:p>
      <w:pPr>
        <w:pStyle w:val="ListBullet"/>
      </w:pPr>
      <w:r>
        <w:rPr>
          <w:i w:val="0"/>
        </w:rPr>
        <w:t>不同角色访问矩阵；</w:t>
      </w:r>
    </w:p>
    <w:p>
      <w:pPr>
        <w:pStyle w:val="ListBullet"/>
      </w:pPr>
      <w:r>
        <w:rPr>
          <w:i w:val="0"/>
        </w:rPr>
        <w:t>无同意/用途不符被阻止；</w:t>
      </w:r>
    </w:p>
    <w:p>
      <w:pPr>
        <w:pStyle w:val="ListBullet"/>
      </w:pPr>
      <w:r>
        <w:rPr>
          <w:i w:val="0"/>
        </w:rPr>
        <w:t>HMAC 重放 nonce；</w:t>
      </w:r>
    </w:p>
    <w:p>
      <w:pPr>
        <w:pStyle w:val="ListBullet"/>
      </w:pPr>
      <w:r>
        <w:rPr>
          <w:i w:val="0"/>
        </w:rPr>
        <w:t>请求大小限制；</w:t>
      </w:r>
    </w:p>
    <w:p>
      <w:pPr>
        <w:pStyle w:val="ListBullet"/>
      </w:pPr>
      <w:r>
        <w:rPr>
          <w:i w:val="0"/>
        </w:rPr>
        <w:t>路径穿越、注入、XML 外部实体；</w:t>
      </w:r>
    </w:p>
    <w:p>
      <w:pPr>
        <w:pStyle w:val="ListBullet"/>
      </w:pPr>
      <w:r>
        <w:rPr>
          <w:i w:val="0"/>
        </w:rPr>
        <w:t>TLS/mTLS、证书到期、吊销；</w:t>
      </w:r>
    </w:p>
    <w:p>
      <w:pPr>
        <w:pStyle w:val="ListBullet"/>
      </w:pPr>
      <w:r>
        <w:rPr>
          <w:i w:val="0"/>
        </w:rPr>
        <w:t>日志不含明文 PHI；</w:t>
      </w:r>
    </w:p>
    <w:p>
      <w:pPr>
        <w:pStyle w:val="ListBullet"/>
      </w:pPr>
      <w:r>
        <w:rPr>
          <w:i w:val="0"/>
        </w:rPr>
        <w:t>审计链篡改被检测。</w:t>
      </w:r>
    </w:p>
    <w:p>
      <w:pPr>
        <w:pStyle w:val="Heading2"/>
      </w:pPr>
      <w:r>
        <w:t>6. 临床安全用例</w:t>
      </w:r>
    </w:p>
    <w:p>
      <w:pPr>
        <w:pStyle w:val="ListBullet"/>
      </w:pPr>
      <w:r>
        <w:rPr>
          <w:i w:val="0"/>
        </w:rPr>
        <w:t>外部“诊断/处方/医嘱”不能直接写入；</w:t>
      </w:r>
    </w:p>
    <w:p>
      <w:pPr>
        <w:pStyle w:val="ListBullet"/>
      </w:pPr>
      <w:r>
        <w:rPr>
          <w:i w:val="0"/>
        </w:rPr>
        <w:t>临床暂存必须人工审核；</w:t>
      </w:r>
    </w:p>
    <w:p>
      <w:pPr>
        <w:pStyle w:val="ListBullet"/>
      </w:pPr>
      <w:r>
        <w:rPr>
          <w:i w:val="0"/>
        </w:rPr>
        <w:t>患者不确定时阻止高影响动作；</w:t>
      </w:r>
    </w:p>
    <w:p>
      <w:pPr>
        <w:pStyle w:val="ListBullet"/>
      </w:pPr>
      <w:r>
        <w:rPr>
          <w:i w:val="0"/>
        </w:rPr>
        <w:t>单位/代码未知时保留残差；</w:t>
      </w:r>
    </w:p>
    <w:p>
      <w:pPr>
        <w:pStyle w:val="ListBullet"/>
      </w:pPr>
      <w:r>
        <w:rPr>
          <w:i w:val="0"/>
        </w:rPr>
        <w:t>转诊目录不显示为实时号源；</w:t>
      </w:r>
    </w:p>
    <w:p>
      <w:pPr>
        <w:pStyle w:val="ListBullet"/>
      </w:pPr>
      <w:r>
        <w:rPr>
          <w:i w:val="0"/>
        </w:rPr>
        <w:t>趋势不自动改变治疗；</w:t>
      </w:r>
    </w:p>
    <w:p>
      <w:pPr>
        <w:pStyle w:val="ListBullet"/>
      </w:pPr>
      <w:r>
        <w:rPr>
          <w:i w:val="0"/>
        </w:rPr>
        <w:t>急诊信息明确提示使用医院急诊流程；</w:t>
      </w:r>
    </w:p>
    <w:p>
      <w:pPr>
        <w:pStyle w:val="ListBullet"/>
      </w:pPr>
      <w:r>
        <w:rPr>
          <w:i w:val="0"/>
        </w:rPr>
        <w:t>角色标签不能替代资质。</w:t>
      </w:r>
    </w:p>
    <w:p>
      <w:pPr>
        <w:pStyle w:val="Heading2"/>
      </w:pPr>
      <w:r>
        <w:t>7. 上线前清单</w:t>
      </w:r>
    </w:p>
    <w:p>
      <w:pPr>
        <w:pStyle w:val="ListBullet"/>
      </w:pPr>
      <w:r>
        <w:rPr>
          <w:i w:val="0"/>
        </w:rPr>
        <w:t>[ ] 真实接口清单和映射完成业务/技术双签；</w:t>
      </w:r>
    </w:p>
    <w:p>
      <w:pPr>
        <w:pStyle w:val="ListBullet"/>
      </w:pPr>
      <w:r>
        <w:rPr>
          <w:i w:val="0"/>
        </w:rPr>
        <w:t>[ ] 测试数据不含未授权真实患者；</w:t>
      </w:r>
    </w:p>
    <w:p>
      <w:pPr>
        <w:pStyle w:val="ListBullet"/>
      </w:pPr>
      <w:r>
        <w:rPr>
          <w:i w:val="0"/>
        </w:rPr>
        <w:t>[ ] 身份、角色、科室和职责分离确认；</w:t>
      </w:r>
    </w:p>
    <w:p>
      <w:pPr>
        <w:pStyle w:val="ListBullet"/>
      </w:pPr>
      <w:r>
        <w:rPr>
          <w:i w:val="0"/>
        </w:rPr>
        <w:t>[ ] TLS/mTLS、证书、密钥轮换和网络策略完成；</w:t>
      </w:r>
    </w:p>
    <w:p>
      <w:pPr>
        <w:pStyle w:val="ListBullet"/>
      </w:pPr>
      <w:r>
        <w:rPr>
          <w:i w:val="0"/>
        </w:rPr>
        <w:t>[ ] 演示令牌和默认秘密全部禁用；</w:t>
      </w:r>
    </w:p>
    <w:p>
      <w:pPr>
        <w:pStyle w:val="ListBullet"/>
      </w:pPr>
      <w:r>
        <w:rPr>
          <w:i w:val="0"/>
        </w:rPr>
        <w:t>[ ] 高影响写回默认关闭；</w:t>
      </w:r>
    </w:p>
    <w:p>
      <w:pPr>
        <w:pStyle w:val="ListBullet"/>
      </w:pPr>
      <w:r>
        <w:rPr>
          <w:i w:val="0"/>
        </w:rPr>
        <w:t>[ ] 备份、恢复和容灾演练通过；</w:t>
      </w:r>
    </w:p>
    <w:p>
      <w:pPr>
        <w:pStyle w:val="ListBullet"/>
      </w:pPr>
      <w:r>
        <w:rPr>
          <w:i w:val="0"/>
        </w:rPr>
        <w:t>[ ] 性能、容量、故障、重复、乱序测试通过；</w:t>
      </w:r>
    </w:p>
    <w:p>
      <w:pPr>
        <w:pStyle w:val="ListBullet"/>
      </w:pPr>
      <w:r>
        <w:rPr>
          <w:i w:val="0"/>
        </w:rPr>
        <w:t>[ ] 审计、日志、SIEM 和告警接入；</w:t>
      </w:r>
    </w:p>
    <w:p>
      <w:pPr>
        <w:pStyle w:val="ListBullet"/>
      </w:pPr>
      <w:r>
        <w:rPr>
          <w:i w:val="0"/>
        </w:rPr>
        <w:t>[ ] 安全扫描/渗透测试问题闭环；</w:t>
      </w:r>
    </w:p>
    <w:p>
      <w:pPr>
        <w:pStyle w:val="ListBullet"/>
      </w:pPr>
      <w:r>
        <w:rPr>
          <w:i w:val="0"/>
        </w:rPr>
        <w:t>[ ] 临床、护理、康复、质量、信息和运维培训完成；</w:t>
      </w:r>
    </w:p>
    <w:p>
      <w:pPr>
        <w:pStyle w:val="ListBullet"/>
      </w:pPr>
      <w:r>
        <w:rPr>
          <w:i w:val="0"/>
        </w:rPr>
        <w:t>[ ] 试运行范围、值守、回滚和事件响应批准；</w:t>
      </w:r>
    </w:p>
    <w:p>
      <w:pPr>
        <w:pStyle w:val="ListBullet"/>
      </w:pPr>
      <w:r>
        <w:rPr>
          <w:i w:val="0"/>
        </w:rPr>
        <w:t>[ ] 供应商和院方责任边界书面确认；</w:t>
      </w:r>
    </w:p>
    <w:p>
      <w:pPr>
        <w:pStyle w:val="ListBullet"/>
      </w:pPr>
      <w:r>
        <w:rPr>
          <w:i w:val="0"/>
        </w:rPr>
        <w:t>[ ] 数据用途、保留、撤回和科研访问审批完成。</w:t>
      </w:r>
    </w:p>
    <w:p>
      <w:pPr>
        <w:pStyle w:val="Heading2"/>
      </w:pPr>
      <w:r>
        <w:t>8. 上线后 7/30/90 天</w:t>
      </w:r>
    </w:p>
    <w:p>
      <w:r>
        <w:rPr>
          <w:i w:val="0"/>
        </w:rPr>
        <w:t>7 天每日复盘消息失败、MPI 未决和人工暂存；30 天评估稳定性、用户负担、映射残差和安全告警；90 天决定维持、扩大、修改或回退。扩大范围必须有证据，不以“系统已运行”作为自动批准理由。</w:t>
      </w:r>
    </w:p>
    <w:p>
      <w:r>
        <w:br w:type="page"/>
      </w:r>
    </w:p>
    <w:p>
      <w:pPr>
        <w:pStyle w:val="Heading1"/>
      </w:pPr>
      <w:r>
        <w:t>附录：常用命令速查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4762"/>
            <w:vAlign w:val="center"/>
            <w:shd w:fill="2D5F8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4762"/>
            <w:vAlign w:val="center"/>
            <w:shd w:fill="2D5F8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命令</w:t>
            </w:r>
          </w:p>
        </w:tc>
      </w:tr>
      <w:tr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配置检查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python run_mesh81.py config-check --config config/integration.json</w:t>
            </w:r>
          </w:p>
        </w:tc>
      </w:tr>
      <w:tr>
        <w:tc>
          <w:tcPr>
            <w:tcW w:type="dxa" w:w="4762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启动双系统</w:t>
            </w:r>
          </w:p>
        </w:tc>
        <w:tc>
          <w:tcPr>
            <w:tcW w:type="dxa" w:w="4762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python run_mesh81.py integrated --config config/integration.json</w:t>
            </w:r>
          </w:p>
        </w:tc>
      </w:tr>
      <w:tr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仅启动网关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python run_mesh81.py gateway --config config/integration.json</w:t>
            </w:r>
          </w:p>
        </w:tc>
      </w:tr>
      <w:tr>
        <w:tc>
          <w:tcPr>
            <w:tcW w:type="dxa" w:w="4762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启动 MLLP</w:t>
            </w:r>
          </w:p>
        </w:tc>
        <w:tc>
          <w:tcPr>
            <w:tcW w:type="dxa" w:w="4762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python run_mesh81.py mllp --config config/integration.json --host 127.0.0.1 --port 2575</w:t>
            </w:r>
          </w:p>
        </w:tc>
      </w:tr>
      <w:tr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运行演示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python run_mesh81.py demo --config config/integration.json</w:t>
            </w:r>
          </w:p>
        </w:tc>
      </w:tr>
      <w:tr>
        <w:tc>
          <w:tcPr>
            <w:tcW w:type="dxa" w:w="4762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全量 QA</w:t>
            </w:r>
          </w:p>
        </w:tc>
        <w:tc>
          <w:tcPr>
            <w:tcW w:type="dxa" w:w="4762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python run_mesh81.py qa --config config/integration.json</w:t>
            </w:r>
          </w:p>
        </w:tc>
      </w:tr>
      <w:tr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备份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tools/backup.sh var var/backups</w:t>
            </w:r>
          </w:p>
        </w:tc>
      </w:tr>
      <w:tr>
        <w:tc>
          <w:tcPr>
            <w:tcW w:type="dxa" w:w="4762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恢复</w:t>
            </w:r>
          </w:p>
        </w:tc>
        <w:tc>
          <w:tcPr>
            <w:tcW w:type="dxa" w:w="4762"/>
            <w:vAlign w:val="center"/>
            <w:shd w:fill="F5F8FB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tools/restore.sh BACKUP.tar.gz EMPTY_TARGET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247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D6B78"/>
        <w:sz w:val="16"/>
      </w:rPr>
      <w:t xml:space="preserve">第 </w:t>
      <w:fldChar w:fldCharType="begin"/>
      <w:instrText xml:space="preserve">PAGE</w:instrText>
      <w:fldChar w:fldCharType="end"/>
    </w:r>
    <w:r>
      <w:rPr>
        <w:color w:val="5D6B78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5D6B78"/>
        <w:sz w:val="16"/>
      </w:rPr>
      <w:t>浦东中医主动诊疗平台 MESH8.1 完整用户手册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24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D5F8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8594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283" w:right="170"/>
      <w:shd w:fill="F1F4F6"/>
    </w:pPr>
    <w:rPr>
      <w:rFonts w:ascii="DejaVu Sans Mono" w:hAnsi="DejaVu Sans Mono" w:eastAsia="Noto Sans Mono CJK SC"/>
      <w:color w:val="26323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浦东中医主动诊疗平台 MESH8.1 完整用户手册</dc:title>
  <dc:subject>DIKWP-MESH8.1 浦东中医主动诊疗与院内互联平台 v2.0.0</dc:subject>
  <dc:creator>DIKWP-MESH8.1 工程交付；原始项目来源：Yucong Duan GitHub</dc:creator>
  <cp:keywords>DIKWP, MESH8.1, 中医医院, FHIR, HL7, CDA, DICOMweb, MPI, 医院互联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