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rial" w:hAnsi="Arial" w:eastAsia="黑体"/>
          <w:b/>
          <w:i w:val="0"/>
          <w:color w:val="123B67"/>
          <w:sz w:val="46"/>
        </w:rPr>
        <w:t>DIKWP AI StockPicker AutoWealth Sandbox 2026 V1</w:t>
        <w:br/>
      </w:r>
      <w:r>
        <w:rPr>
          <w:rFonts w:ascii="Arial" w:hAnsi="Arial" w:eastAsia="黑体"/>
          <w:b/>
          <w:i w:val="0"/>
          <w:color w:val="1F4E79"/>
          <w:sz w:val="38"/>
        </w:rPr>
        <w:t>AI荐股器与自动理财平台的合规沙箱版</w:t>
        <w:br/>
      </w:r>
      <w:r>
        <w:rPr>
          <w:rFonts w:ascii="Arial" w:hAnsi="Arial" w:eastAsia="黑体"/>
          <w:b/>
          <w:i w:val="0"/>
          <w:color w:val="1F4E79"/>
          <w:sz w:val="32"/>
        </w:rPr>
        <w:t>独立原型、治理边界、运行说明与试点方案</w:t>
      </w:r>
    </w:p>
    <w:p>
      <w:pPr>
        <w:spacing w:before="400"/>
        <w:jc w:val="center"/>
      </w:pPr>
      <w:r>
        <w:rPr>
          <w:rFonts w:ascii="Arial" w:hAnsi="Arial" w:eastAsia="宋体"/>
          <w:b w:val="0"/>
          <w:i w:val="0"/>
          <w:color w:val="2B5D8A"/>
          <w:sz w:val="23"/>
        </w:rPr>
        <w:t>系统定位：股票研究优先级 + 纸面自动理财 + 适当性准备 + 顾问/合规复核</w:t>
        <w:br/>
      </w:r>
      <w:r>
        <w:rPr>
          <w:rFonts w:ascii="Arial" w:hAnsi="Arial" w:eastAsia="宋体"/>
          <w:b w:val="0"/>
          <w:i w:val="0"/>
          <w:color w:val="2B5D8A"/>
          <w:sz w:val="23"/>
        </w:rPr>
        <w:t>强制边界：不荐真实股票、不连交易接口、不保存账户凭证、不自动下单</w:t>
        <w:br/>
      </w:r>
      <w:r>
        <w:rPr>
          <w:rFonts w:ascii="Arial" w:hAnsi="Arial" w:eastAsia="宋体"/>
          <w:b w:val="0"/>
          <w:i w:val="0"/>
          <w:color w:val="2B5D8A"/>
          <w:sz w:val="23"/>
        </w:rPr>
        <w:t>方法底座：DIKWP Evidence Ledger + 3-No诊断 + Action Ticket + Human Review</w:t>
        <w:br/>
      </w:r>
      <w:r>
        <w:rPr>
          <w:rFonts w:ascii="Arial" w:hAnsi="Arial" w:eastAsia="宋体"/>
          <w:b w:val="0"/>
          <w:i w:val="0"/>
          <w:color w:val="2B5D8A"/>
          <w:sz w:val="23"/>
        </w:rPr>
        <w:t>交付用途：投教、研究工作坊、机构内控演示、合规沙箱、GitHub开源样板</w:t>
      </w:r>
    </w:p>
    <w:p>
      <w:pPr>
        <w:spacing w:before="2640"/>
        <w:jc w:val="center"/>
      </w:pPr>
      <w:r>
        <w:rPr>
          <w:rFonts w:ascii="Arial" w:hAnsi="Arial" w:eastAsia="黑体"/>
          <w:b/>
          <w:i w:val="0"/>
          <w:color w:val="444444"/>
          <w:sz w:val="26"/>
        </w:rPr>
        <w:t>完整详细版  |  合成数据  |  2026年</w:t>
      </w:r>
    </w:p>
    <w:p>
      <w:pPr>
        <w:sectPr>
          <w:footerReference w:type="default" r:id="rId9"/>
          <w:pgSz w:w="12240" w:h="15840"/>
          <w:pgMar w:top="1037" w:right="1181" w:bottom="979" w:left="1181" w:header="720" w:footer="720" w:gutter="0"/>
          <w:cols w:space="720"/>
          <w:docGrid w:linePitch="360"/>
        </w:sectPr>
      </w:pP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一、执行摘要：为什么把“AI荐股器”重构为合规研究沙箱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本系统回应“AI荐股器”和“自动理财平台”的需求，但不交付可以直接推荐真实股票、自动下单或保证收益的实盘工具。原因很明确：涉及证券及相关产品的投资建议、投资组合和理财规划，正式业务需要适当性、资质、内控、利益冲突披露、回访、投诉和审计。一个开源AI系统若直接输出买卖指令或连接交易接口，既会放大投资者风险，也会破坏合规边界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因此，本系统将“荐股”重新定义为“股票研究优先级排序与证据化Dossier生成”，将“自动理财”重新定义为“纸面组合与自动再平衡草案”。系统可以帮助投资者或持牌机构整理Purpose、风险承受、数据来源、股票池、因子解释、反证、压力测试、AI Use Log和顾问复核票据，但不替代客户自主决策、持牌投资顾问、合规、风控或交易负责人。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系统采用合成股票数据，内置十个虚构标的，展示质量、价值、成长、动量、风险、流动性、AI暴露和数据质量等因子如何进入研究状态。系统给出的状态包括研究优先、观察/补证、不适配、暂不研究；这些状态不是买入、持有、卖出。正式使用时，必须把所有合成数据替换为合规、授权、可追溯的行情、财报、公告、费用、流动性和产品文件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自动理财部分只生成纸面目标比例、再平衡规则和压力测试，不连接券商、银行、基金销售、交易所、钱包或任何API。开源包中的静态边界审计脚本专门检查是否存在网络调用、交易接口、账号凭证或动态执行能力。V1的价值是形成合规沙箱和工作流，而不是形成实盘交易机器人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二、监管与行业治理背景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在中国语境下，证券投资顾问业务被定义为证券公司、证券投资咨询机构向客户提供涉及证券及相关产品的投资建议服务，内容包括投资品种选择、投资组合以及理财规划建议等。该定义说明，只要系统进入真实客户、真实产品和真实交易建议，就不再是普通软件功能，而是受监管约束的金融服务活动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投资者适当性管理要求经营机构了解投资者、了解产品、匹配销售或服务，并对普通投资者提供特别保护。自动化系统若忽视期限、回撤、流动性、经验和家庭目标，很容易把高风险资产推给不适配客户。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程序化交易监管则提醒我们，只要系统进入自动下单、撤单、调仓、算法接入或高频交易，就必须遵守交易报告、系统测试、异常交易管理、风控和突发事件处置要求。本原型不包含任何实盘程序化交易能力。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IOSCO关于金融机构使用AI/ML的报告强调治理、控制、测试、性能监测、人员能力和透明披露。NIST AI RMF也强调Govern、Map、Measure、Manage的AI风险管理框架。对“AI荐股器”而言，这意味着AI必须有用途边界、数据边界、模型监控、人类复核和审计日志。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三、系统总体定位与不可逾越边界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类别</w:t>
            </w:r>
          </w:p>
        </w:tc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允许</w:t>
            </w:r>
          </w:p>
        </w:tc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禁止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投教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解释资产类别、因子、风险、费用和行为偏差。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承诺收益、预测必涨或制造紧迫感。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股票研究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生成合成或授权数据下的研究优先级、反证和Dossier。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推荐真实股票买卖、目标价和交易时点。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组合草案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生成纸面配置、再平衡草案和压力测试。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自动申购、赎回、下单、调仓。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AI使用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摘要、归纳风险、生成核验问题和报告草稿。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无来源编造、诱导交易、隐藏模型贡献。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顾问流程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准备适当性材料、复核票据和审计记录。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替代持牌人员和合规内控。</w:t>
            </w:r>
          </w:p>
        </w:tc>
      </w:tr>
    </w:tbl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系统所有页面都固定显示“合成数据、纸面组合、非投资建议”的边界。用户如果尝试把系统用于真实交易，应先替换为机构合规流程，而不是直接扩展按钮或API。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四、DIKWP金融研究闭环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层级</w:t>
            </w:r>
          </w:p>
        </w:tc>
        <w:tc>
          <w:tcPr>
            <w:tcW w:type="dxa" w:w="2469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投资研究中的含义</w:t>
            </w:r>
          </w:p>
        </w:tc>
        <w:tc>
          <w:tcPr>
            <w:tcW w:type="dxa" w:w="2469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典型证据</w:t>
            </w:r>
          </w:p>
        </w:tc>
        <w:tc>
          <w:tcPr>
            <w:tcW w:type="dxa" w:w="2469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失败风险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D 数据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行情、财报、公告、费用、流动性、投资者资料。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价格、复权、财报、产品文件、风险问卷。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数据错误、过期、缺失、无授权。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I 信息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估值、质量、成长、风险、相关性、集中度。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因子表、行业对比、回撤、压力情景。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把相关性误当因果。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K 知识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投资假设、行业逻辑、资产配置、合规规则。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研究模型、尽调清单、监管知识。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叙事漂亮但缺机制。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W 智慧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风险预算、行为偏差、家庭责任、利益冲突。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风险承受、应急金、家庭现金流。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只看收益，忽视承受能力。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P 目的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养老、教育、买房、长期增值、投教学习。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Purpose Contract、期限、回撤。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目的漂移，追逐热点。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R 可靠性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来源、版本、AI贡献、Residual、Kill。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Evidence Ledger、AI Use Log、复核票据。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AI自信但不可追溯。</w:t>
            </w:r>
          </w:p>
        </w:tc>
      </w:tr>
    </w:tbl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本系统最重要的设计不是因子打分，而是把每个分数、状态和候选都放回D/I/K/W/P/R链条。若没有P层目的和R层可靠性，股票研究很容易变成主题追逐。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五、投资者适当性与Purpose Contract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投资者画像包括年龄、可投资资产、投资期限、可承受最大回撤、目标收益、风险等级和Purpose。系统会根据这些字段判断是否适合进入股票研究。期限短、回撤承受低、收益目标过高或应急金不足时，系统只输出投教/补证，不进入高波动股票研究。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这笔钱什么时候用？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目标收益是否超过风险承受能力？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最坏情况下亏损多少会影响家庭生活？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是否有借贷投资、杠杆或短期翻本意图？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是否理解股票长期可能不赚钱？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是否收到内部消息、收益承诺或付费荐股诱导？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Purpose Contract变化会杀死旧配置。例如从长期增值改为一年内买房，股票仓位和研究清单必须重新评估。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六、股票池Evidence Ledger与因子解释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股票池不是一个代码列表，而是一个证据账本。每个候选标的必须登记数据来源、更新时间、支持范围、不支持内容、合成/真实标识、数据质量和人工复核状态。系统内置的股票全部为合成标的，代码以SYN开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因子</w:t>
            </w:r>
          </w:p>
        </w:tc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含义</w:t>
            </w:r>
          </w:p>
        </w:tc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反证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质量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现金流、盈利质量、负债和治理代理。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高质量也可能估值过高或增长停滞。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价值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估值安全边际代理。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低估值可能是价值陷阱。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成长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收入、利润和行业空间代理。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高成长可能已经体现在价格里。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动量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趋势和市场关注代理。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趋势反转时风险大。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风险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波动、回撤、拥挤、流动性和主题风险。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低风险不等于无亏损。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AI暴露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受益于AI或被AI冲击的程度。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AI叙事不等于现金流和利润。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数据质量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来源、时效、完整性和一致性。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数据差会让所有因子无效。</w:t>
            </w:r>
          </w:p>
        </w:tc>
      </w:tr>
    </w:tbl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七、AI候选研究清单与Dossier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系统根据投资者风险、研究风格和仿真条件，为合成股票生成研究分。研究分不是买入概率，也不是收益预测。状态被分为研究优先、观察/补证、不适配和暂不研究。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研究优先：相对匹配Purpose，数据质量较好，但仍须人工尽调。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观察/补证：部分因素较好，但存在估值、数据、风险或流动性缺口。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不适配：与投资者期限、回撤或风险等级冲突。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暂不研究：数据质量不足或投资假设薄弱。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每个Dossier都必须包含反证。例如高AI暴露标的需要回答：利润是否真的受益？估值是否透支？流动性是否充足？如果下跌30%，原投资假设是否仍成立？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八、纸面自动理财与再平衡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系统内置五个资产桶：现金/货币、债券/固收、宽基权益、股票研究池、其他教育性资产。根据风险等级和期限生成纸面比例。此处的“自动理财”只自动生成规则和草案，不自动交易。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规则</w:t>
            </w:r>
          </w:p>
        </w:tc>
        <w:tc>
          <w:tcPr>
            <w:tcW w:type="dxa" w:w="2469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触发</w:t>
            </w:r>
          </w:p>
        </w:tc>
        <w:tc>
          <w:tcPr>
            <w:tcW w:type="dxa" w:w="2469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动作草案</w:t>
            </w:r>
          </w:p>
        </w:tc>
        <w:tc>
          <w:tcPr>
            <w:tcW w:type="dxa" w:w="2469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人工门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漂移再平衡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资产偏离目标±5%。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生成卖高买低草案。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客户/顾问确认。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回撤降风险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组合回撤超过可承受值。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暂停增仓，检查Purpose。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必须人工复核。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流动性保护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现金低于应急要求。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提高现金与短债。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客户确认。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AI信号异常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模型漂移或无来源收益预测。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冻结AI信号。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合规确认。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Purpose变化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家庭目标或期限变化。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旧组合失效。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重做适当性。</w:t>
            </w:r>
          </w:p>
        </w:tc>
      </w:tr>
    </w:tbl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九、压力测试与行为风险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压力测试用于检验投资者是否承受不利情景，不预测市场。V1包括权益市场下跌35%、AI主题资产下跌50%、收入中断6个月、流动性急需20%、利率上行导致债券回撤、AI错误推荐导致追高等情景。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行为风险往往比模型误差更危险。系统提醒投资者避免追短视频荐股、亏损后加杠杆补仓、把AI解释当内部消息、高估回撤承受能力、忽视费用和流动性、收益目标随行情上涨而漂移。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十、产品/股票尽调与一票否决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数据来源不明；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业务模式无法解释；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估值口径缺失；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关键风险未披露；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组合集中度超出风险等级；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费用和税费不透明；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利益冲突未披露；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AI摘要无引用；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收益承诺或内部消息；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绕过合规和人工复核。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任何一票否决触发时，系统只输出阻断票据，不进入建议、销售、申购、赎回或调仓。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十一、AI Use Log治理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字段</w:t>
            </w:r>
          </w:p>
        </w:tc>
        <w:tc>
          <w:tcPr>
            <w:tcW w:type="dxa" w:w="4939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说明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工具与版本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模型或系统名称、版本。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用途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摘要、因子解释、报告草稿、代码审计等。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输入摘要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不录入不必要的客户隐私和账户资料。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输出使用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哪些内容进入报告，哪些被删除。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人工核验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投研、顾问、合规如何核查。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错误/拒绝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AI幻觉、买入措辞、收益承诺等拒绝项。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数据边界</w:t>
            </w:r>
          </w:p>
        </w:tc>
        <w:tc>
          <w:tcPr>
            <w:tcW w:type="dxa" w:w="493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是否包含真实证券、真实客户或敏感信息。</w:t>
            </w:r>
          </w:p>
        </w:tc>
      </w:tr>
    </w:tbl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系统允许AI协助整理信息，但禁止AI直接荐股、择时、收益承诺、诱导客户购买或自动交易。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十二、顾问/合规复核票据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状态</w:t>
            </w:r>
          </w:p>
        </w:tc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含义</w:t>
            </w:r>
          </w:p>
        </w:tc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后续动作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可讨论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资料基本完整，可进入投教和人工讨论。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保留证据和客户确认。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请求补证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缺Purpose、产品文件、费用、流动性或数据。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补证前不形成建议。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降风险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收益目标与风险承受冲突。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降低股票池或提高现金/债券。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阻断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无资格、无文件、收益承诺、AI无依据或不适配。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停止流程，记录理由。</w:t>
            </w:r>
          </w:p>
        </w:tc>
      </w:tr>
    </w:tbl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复核票据的作用是把AI输出变成人类责任链，而不是把责任交给模型。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十三、3-No市场输入诊断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不完整：缺财报、公告、估值、流动性、费用或客户Purpose。系统补证，不输出强候选。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不一致：基本面、估值、动量、新闻和AI摘要冲突。系统保留多版本并增加反证，不强行合并。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不精确：收益目标、期限、最大回撤、资产类别和产品风险口径不清。系统要求重做Purpose Contract。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此外，V1加入AI主题过热、流动性冲击和Purpose变化仿真。可信系统的标志不是永远给答案，而是在输入变差时能降级或阻断。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十四、开源包与技术结构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index.html：单文件离线交互原型；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data/stock_universe_template.csv：股票池模板；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data/paper_portfolio_template.csv：纸面组合模板；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schemas/*.json：投资者、研究记录、组合、票据、AI日志和Passport；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tools/run_stock_sandbox.py：离线CLI；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tools/static_boundary_audit.py：静态边界审计；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examples/sample_stock_universe.csv：合成样例；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README、GOVERNANCE、SOURCES、NOTICE、30_DAY_PILOT_PLAN、LICENSE、CITATION。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静态审计结果显示，系统不含券商接口、交易所接口、交易下单函数、账户凭证存储、浏览器本地存储或隐藏网络调用。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十五、30天试点方案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阶段</w:t>
            </w:r>
          </w:p>
        </w:tc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任务</w:t>
            </w:r>
          </w:p>
        </w:tc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交付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第1周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冻结禁止输出、风险问卷、合成股票池和AI使用规则。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试点章程和模板。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第2周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运行20个合成或授权案例。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Purpose、适当性和Residual报告。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第3周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加入尽调、压力测试、AI日志和纸面组合。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Dossier、压力测试和票据。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第4周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顾问、合规、风控和审计复核。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Investment Research Passport和复盘。</w:t>
            </w:r>
          </w:p>
        </w:tc>
      </w:tr>
    </w:tbl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验收标准：零真实荐股、零交易连接、零账号存储、候选均有反证、压力测试可见、人工复核票据存在。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十六、商业化边界与价值层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可开源部分包括通用流程、合成数据、Schema、CLI和静态审计。可保留为价值层的包括机构内部数据源适配、正式合规流程集成、客户档案接口、模型监控、顾问工作台、合规报告和培训认证。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这避免了两个极端：一是把系统做成危险荐股机器人，二是只做毫无实用价值的宣传材料。合规沙箱能够真实演示产品逻辑，同时不碰实盘边界。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十七、最终结论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本系统不是AI荐股群，不是自动赚钱平台，也不是交易机器人。它是一个面向AI时代投资研究、适当性准备、纸面组合和人工复核的可运行开源原型。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它把“这个股票能买吗？”改写为一组可治理问题：我的Purpose是什么？我能承受多少回撤？数据可靠吗？研究假设是什么？反证是什么？AI做了什么？组合压力测试是否通过？谁做人工复核？什么条件下必须停止？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如果未来要进入真实投资顾问或自动理财业务，必须由具备资格的主体在监管、适当性、内控、合规、信息安全和客户保护框架下重新部署。开源核心应继续保持无实盘、无账户、无交易接口。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附录A：真实部署前检查清单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牌照和业务范围确认；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客户身份、风险问卷、普通/专业投资者分类；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产品/证券数据源授权；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产品文件、风险等级、费用和流动性；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利益冲突与返佣披露；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模型治理、AI Use Log和人工核验；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客户确认、回访、投诉和留痕；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网络安全、隐私、权限和审计；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程序化交易报告和系统测试（若涉及下单）；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法律、合规、风控和审计共同签字。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附录B：主要参考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中国证监会：《证券投资顾问业务暂行规定》。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中国证监会：《证券期货投资者适当性管理办法》。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中国证监会：《证券市场程序化交易管理规定（试行）》。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中国证监会：《期货市场程序化交易管理规定（试行）》。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IOSCO: The Use of Artificial Intelligence and Machine Learning by Market Intermediaries and Asset Managers, 2021.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IOSCO: Artificial Intelligence in Capital Markets: Use Cases, Risks and Challenges, 2024.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NIST AI Risk Management Framework 1.0, 2023.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DIKWP TransitTrustGraph/BusPulse低风险架构：Evidence Ledger、Action Ticket、Human Review和Static Boundary Audit。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十八、系统页面逐项操作说明</w:t>
      </w:r>
    </w:p>
    <w:p>
      <w:pPr>
        <w:pStyle w:val="Heading2"/>
        <w:spacing w:before="160" w:after="80"/>
      </w:pPr>
      <w:r>
        <w:rPr>
          <w:rFonts w:ascii="Arial" w:hAnsi="Arial" w:eastAsia="黑体"/>
          <w:b/>
          <w:i w:val="0"/>
          <w:color w:val="1F4E79"/>
          <w:sz w:val="26"/>
        </w:rPr>
        <w:t>18.1 总览与强制边界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总览页是给投资者、产品经理和合规人员看的第一屏。它显示投资者Purpose、风险等级、期限、可承受回撤、系统状态、研究清单、Residual和Action Ticket。若出现“仅适合投教/补证”，操作者不应继续尝试绕过风险提示，而应返回适当性和Purpose页。</w:t>
      </w:r>
    </w:p>
    <w:p>
      <w:pPr>
        <w:pStyle w:val="Heading2"/>
        <w:spacing w:before="160" w:after="80"/>
      </w:pPr>
      <w:r>
        <w:rPr>
          <w:rFonts w:ascii="Arial" w:hAnsi="Arial" w:eastAsia="黑体"/>
          <w:b/>
          <w:i w:val="0"/>
          <w:color w:val="1F4E79"/>
          <w:sz w:val="26"/>
        </w:rPr>
        <w:t>18.2 投资者适当性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该页不计算正式客户等级，只帮助识别讨论前的红线：期限太短、目标收益过高、回撤承受低、借贷投资、应急金不足或无法理解风险。正式机构可将其替换为内部风险问卷接口，但必须保留人工复核。</w:t>
      </w:r>
    </w:p>
    <w:p>
      <w:pPr>
        <w:pStyle w:val="Heading2"/>
        <w:spacing w:before="160" w:after="80"/>
      </w:pPr>
      <w:r>
        <w:rPr>
          <w:rFonts w:ascii="Arial" w:hAnsi="Arial" w:eastAsia="黑体"/>
          <w:b/>
          <w:i w:val="0"/>
          <w:color w:val="1F4E79"/>
          <w:sz w:val="26"/>
        </w:rPr>
        <w:t>18.3 Purpose Contract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Purpose页把投资目的从“想赚钱”变成可操作约束，包括何时用钱、能否推迟、可承受回撤、是否有家庭责任、是否允许波动和是否理解产品。Purpose变化时，旧组合与研究列表必须重新生成。</w:t>
      </w:r>
    </w:p>
    <w:p>
      <w:pPr>
        <w:pStyle w:val="Heading2"/>
        <w:spacing w:before="160" w:after="80"/>
      </w:pPr>
      <w:r>
        <w:rPr>
          <w:rFonts w:ascii="Arial" w:hAnsi="Arial" w:eastAsia="黑体"/>
          <w:b/>
          <w:i w:val="0"/>
          <w:color w:val="1F4E79"/>
          <w:sz w:val="26"/>
        </w:rPr>
        <w:t>18.4 Market Evidence Ledger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所有股票研究项先进入证据账本。真实部署时，必须登记行情源、复权口径、财报源、公告版本、行业分类、流动性、费用和数据质量。本页特别标注“不支持内容”，防止AI把有限数据外推成确定结论。</w:t>
      </w:r>
    </w:p>
    <w:p>
      <w:pPr>
        <w:pStyle w:val="Heading2"/>
        <w:spacing w:before="160" w:after="80"/>
      </w:pPr>
      <w:r>
        <w:rPr>
          <w:rFonts w:ascii="Arial" w:hAnsi="Arial" w:eastAsia="黑体"/>
          <w:b/>
          <w:i w:val="0"/>
          <w:color w:val="1F4E79"/>
          <w:sz w:val="26"/>
        </w:rPr>
        <w:t>18.5 AI候选研究清单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候选清单页展示研究优先、观察/补证、不适配和暂不研究四种状态。选择“加入纸面研究池”只是把候选纳入模拟组合讨论，不代表买入。</w:t>
      </w:r>
    </w:p>
    <w:p>
      <w:pPr>
        <w:pStyle w:val="Heading2"/>
        <w:spacing w:before="160" w:after="80"/>
      </w:pPr>
      <w:r>
        <w:rPr>
          <w:rFonts w:ascii="Arial" w:hAnsi="Arial" w:eastAsia="黑体"/>
          <w:b/>
          <w:i w:val="0"/>
          <w:color w:val="1F4E79"/>
          <w:sz w:val="26"/>
        </w:rPr>
        <w:t>18.6 纸面自动理财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纸面组合页使用资产桶而非真实证券代码，展示现金、债券、宽基权益、股票研究池和其他教育性资产。该页适合投教和顾问讨论，但不具备交易能力。</w:t>
      </w:r>
    </w:p>
    <w:p>
      <w:pPr>
        <w:pStyle w:val="Heading2"/>
        <w:spacing w:before="160" w:after="80"/>
      </w:pPr>
      <w:r>
        <w:rPr>
          <w:rFonts w:ascii="Arial" w:hAnsi="Arial" w:eastAsia="黑体"/>
          <w:b/>
          <w:i w:val="0"/>
          <w:color w:val="1F4E79"/>
          <w:sz w:val="26"/>
        </w:rPr>
        <w:t>18.7 顾问/合规复核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复核页提供可讨论、请求补证、降风险和阻断四种人工票据。真实业务中，这一步应连接机构的合规、留痕、回访和投诉处理流程。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十九、真实机构部署架构建议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正式机构若希望使用该系统，建议把开源核心作为“离线研究与适当性准备层”，不要直接连接交易系统。部署应分为六层：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数据治理层：行情、财报、公告、产品文件、客户资料和AI日志均有权限、来源和保留期限。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模型服务层：AI模型只用于摘要、分类、反证和草稿，所有输出进入审计。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研究治理层：候选标的的因子、反证、适配、风险和Residual由投研人员确认。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适当性层：客户风险等级、产品风险等级、期限和流动性匹配由合规规则与人工共同处理。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人工复核层：投资顾问、合规、风控、产品尽调和审计分别签发或阻断。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交易隔离层：若进入正式交易，必须通过机构已有授权、留痕和客户确认，不由本开源核心发起。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二十、因子模型的风险与改进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V1因子模型是演示性打分，用于解释研究流程而非产生真实Alpha。真实机构若引入因子模型，应至少完成样本外测试、交易成本估计、数据泄漏检查、行业中性化、风格漂移、容量评估和极端行情压力测试。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风险</w:t>
            </w:r>
          </w:p>
        </w:tc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表现</w:t>
            </w:r>
          </w:p>
        </w:tc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治理动作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数据泄漏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使用未来财报或未来指数成分。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固定发布时间和可得时间。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过拟合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历史收益好但样本外失效。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Walk-forward和滚动验证。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主题拥挤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AI主题分数高但估值透支。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加入估值、成交、拥挤和回撤约束。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行业偏差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模型总是偏某行业。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行业中性或上限管理。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流动性不足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组合无法按模拟价格成交。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加入成交额、冲击成本和停牌处理。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叙事替代证据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AI摘要把新闻写成确定利润。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要求公告、财报和人工核验。</w:t>
            </w:r>
          </w:p>
        </w:tc>
      </w:tr>
    </w:tbl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二十一、自动理财平台的功能分层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层级</w:t>
            </w:r>
          </w:p>
        </w:tc>
        <w:tc>
          <w:tcPr>
            <w:tcW w:type="dxa" w:w="2469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功能</w:t>
            </w:r>
          </w:p>
        </w:tc>
        <w:tc>
          <w:tcPr>
            <w:tcW w:type="dxa" w:w="2469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V1是否实现</w:t>
            </w:r>
          </w:p>
        </w:tc>
        <w:tc>
          <w:tcPr>
            <w:tcW w:type="dxa" w:w="2469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真实部署要求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投教层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解释资产类别、风险和行为偏差。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实现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保持非建议边界。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纸面组合层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根据风险等级生成配置草案。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实现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客户确认与顾问复核。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再平衡草案层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偏离阈值触发再平衡建议。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实现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不能直接交易。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正式建议层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向客户给出投资建议书。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未实现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持牌机构、合规与留痕。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交易执行层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申购、赎回、下单、调仓。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禁止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券商/销售系统授权、风控与报备。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投后服务层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回访、持续适当性和投诉处理。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模板化</w:t>
            </w:r>
          </w:p>
        </w:tc>
        <w:tc>
          <w:tcPr>
            <w:tcW w:type="dxa" w:w="2469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机构制度与客户沟通。</w:t>
            </w:r>
          </w:p>
        </w:tc>
      </w:tr>
    </w:tbl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二十二、AI荐股器常见危险模式与替代表达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危险表达</w:t>
            </w:r>
          </w:p>
        </w:tc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为什么危险</w:t>
            </w:r>
          </w:p>
        </w:tc>
        <w:tc>
          <w:tcPr>
            <w:tcW w:type="dxa" w:w="3293"/>
            <w:vAlign w:val="center"/>
            <w:shd w:fill="D9E7F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i w:val="0"/>
                <w:color w:val="123B67"/>
                <w:sz w:val="18"/>
              </w:rPr>
              <w:t>系统替代表达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这只股票可以买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构成具体交易建议。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该合成标的进入研究优先状态，需人工尽调。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目标价100元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制造伪精确和收益期待。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估值口径仍需核验，不输出目标价。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AI判断必涨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AI无法保证未来价格。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AI只生成证据和反证问题。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今天是买点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诱导择时交易。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本系统不输出交易时点。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自动帮你调仓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绕过授权和适当性。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生成纸面再平衡草案，等待人工确认。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无风险高收益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违反投资常识和合规底线。</w:t>
            </w:r>
          </w:p>
        </w:tc>
        <w:tc>
          <w:tcPr>
            <w:tcW w:type="dxa" w:w="3293"/>
            <w:vAlign w:val="center"/>
          </w:tcPr>
          <w:p>
            <w:pPr>
              <w:spacing w:after="20"/>
            </w:pPr>
            <w:r>
              <w:rPr>
                <w:rFonts w:ascii="Arial" w:hAnsi="Arial" w:eastAsia="宋体"/>
                <w:b w:val="0"/>
                <w:i w:val="0"/>
                <w:sz w:val="17"/>
              </w:rPr>
              <w:t>风险收益不匹配时阻断。</w:t>
            </w:r>
          </w:p>
        </w:tc>
      </w:tr>
    </w:tbl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二十三、客户沟通与披露模板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建议所有演示、报告和客户沟通均包含以下边界声明：</w:t>
      </w:r>
    </w:p>
    <w:p>
      <w:pPr>
        <w:spacing w:after="100" w:line="322" w:lineRule="auto"/>
      </w:pPr>
      <w:r>
        <w:rPr>
          <w:rFonts w:ascii="Arial" w:hAnsi="Arial" w:eastAsia="宋体"/>
          <w:b w:val="0"/>
          <w:i w:val="0"/>
          <w:sz w:val="21"/>
        </w:rPr>
        <w:t>“本系统提供的是投资教育、数据整理、纸面组合和人工复核准备。系统输出不构成证券投资建议、基金销售建议或交易指令，不保证收益，不推荐具体证券代码。任何真实投资决策应结合正式产品文件、风险揭示、适当性评估，并由具备资格的服务主体和人员按照适用规则完成。”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若用于机构内部，应另加：“AI输出为草稿，客户沟通前必须由投资顾问、合规或授权人员审核；所有AI生成内容、引用、修改和客户确认需要留痕。”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二十四、30天试点的详细验收清单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是否所有演示标的均为合成或授权数据；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是否无真实买入/卖出/目标价/止损/择时输出；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是否无交易接口、账号凭证存储和自动下单能力；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是否至少运行20个投资者画像并触发风险不匹配案例；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是否每个候选都有证据、反证和Residual；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是否完成三类压力测试：市场、流动性、AI错误；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是否有AI Use Log，且记录了拒绝项；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是否有顾问/合规复核票据；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是否生成Investment Research Passport；</w:t>
      </w:r>
    </w:p>
    <w:p>
      <w:pPr>
        <w:pStyle w:val="ListBullet"/>
        <w:spacing w:after="60" w:line="295" w:lineRule="auto"/>
        <w:ind w:left="288"/>
      </w:pPr>
      <w:r>
        <w:rPr>
          <w:rFonts w:ascii="Arial" w:hAnsi="Arial" w:eastAsia="宋体"/>
          <w:b w:val="0"/>
          <w:i w:val="0"/>
          <w:sz w:val="21"/>
        </w:rPr>
        <w:t>是否完成静态边界审计并归档。</w:t>
      </w:r>
    </w:p>
    <w:p>
      <w:pPr>
        <w:pStyle w:val="Heading1"/>
        <w:spacing w:before="160" w:after="80"/>
      </w:pPr>
      <w:r>
        <w:rPr>
          <w:rFonts w:ascii="Arial" w:hAnsi="Arial" w:eastAsia="黑体"/>
          <w:b/>
          <w:i w:val="0"/>
          <w:color w:val="123B67"/>
          <w:sz w:val="32"/>
        </w:rPr>
        <w:t>二十五、面向段玉聪/DIKWP生态的定位建议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该系统适合定位为“DIKWP金融AI合规沙箱”，而不是宣传为能赚钱的荐股工具。其战略价值在于展示DIKWP如何把高风险AI金融应用转化为Evidence Ledger、Purpose、适当性、反证、压力测试、AI Use Log和人工复核。</w:t>
      </w:r>
    </w:p>
    <w:p>
      <w:pPr>
        <w:spacing w:after="100" w:line="322" w:lineRule="auto"/>
        <w:ind w:firstLine="403"/>
      </w:pPr>
      <w:r>
        <w:rPr>
          <w:rFonts w:ascii="Arial" w:hAnsi="Arial" w:eastAsia="宋体"/>
          <w:b w:val="0"/>
          <w:i w:val="0"/>
          <w:sz w:val="21"/>
        </w:rPr>
        <w:t>开源传播时建议突出三个卖点：第一，能运行且直观；第二，明确不越界；第三，适合持牌机构、投教平台、高校金融科技课程和合规培训做低风险试点。商业价值层可放在机构数据适配、合规流程集成、顾问工作台、模型监控和培训认证。</w:t>
      </w:r>
    </w:p>
    <w:sectPr w:rsidR="00FC693F" w:rsidRPr="0006063C" w:rsidSect="00034616"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i w:val="0"/>
        <w:color w:val="777777"/>
        <w:sz w:val="16"/>
      </w:rPr>
      <w:t xml:space="preserve">DIKWP AI StockPicker AutoWealth Sandbox V1  |  </w:t>
    </w:r>
    <w:r>
      <w:fldChar w:fldCharType="begin"/>
      <w:instrText xml:space="preserve">PAGE</w:instrText>
      <w:fldChar w:fldCharType="end"/>
    </w:r>
    <w:r>
      <w:rPr>
        <w:rFonts w:ascii="Arial" w:hAnsi="Arial" w:eastAsia="宋体"/>
        <w:b w:val="0"/>
        <w:i w:val="0"/>
        <w:color w:val="777777"/>
        <w:sz w:val="16"/>
      </w:rPr>
      <w:t xml:space="preserve">DIKWP AI StockPicker AutoWealth Sandbox V1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